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3CAB1" w14:textId="77777777" w:rsidR="00A24B83" w:rsidRDefault="0065450B" w:rsidP="0065450B">
      <w:pPr>
        <w:pStyle w:val="Titre1"/>
        <w:rPr>
          <w:sz w:val="44"/>
        </w:rPr>
      </w:pPr>
      <w:r w:rsidRPr="0065450B">
        <w:rPr>
          <w:sz w:val="44"/>
        </w:rPr>
        <w:t>Calcul différentiel et intégral pour les nuls</w:t>
      </w:r>
    </w:p>
    <w:p w14:paraId="5AF3BCE5" w14:textId="77777777" w:rsidR="0065450B" w:rsidRDefault="0065450B" w:rsidP="0065450B">
      <w:pPr>
        <w:rPr>
          <w:i/>
          <w:sz w:val="24"/>
        </w:rPr>
      </w:pPr>
      <w:r w:rsidRPr="0065450B">
        <w:rPr>
          <w:i/>
          <w:sz w:val="24"/>
        </w:rPr>
        <w:t>A l’attention des parents et grands</w:t>
      </w:r>
      <w:r w:rsidR="00897208">
        <w:rPr>
          <w:i/>
          <w:sz w:val="24"/>
        </w:rPr>
        <w:t>-</w:t>
      </w:r>
      <w:r w:rsidRPr="0065450B">
        <w:rPr>
          <w:i/>
          <w:sz w:val="24"/>
        </w:rPr>
        <w:t>parents qui souhaitent aider (ou comprendre) leur progéniture</w:t>
      </w:r>
      <w:r w:rsidR="00867208">
        <w:rPr>
          <w:i/>
          <w:sz w:val="24"/>
        </w:rPr>
        <w:t>.</w:t>
      </w:r>
    </w:p>
    <w:p w14:paraId="53A279CD" w14:textId="77777777" w:rsidR="00867208" w:rsidRPr="00867208" w:rsidRDefault="00867208" w:rsidP="0065450B">
      <w:pPr>
        <w:rPr>
          <w:sz w:val="24"/>
        </w:rPr>
      </w:pPr>
      <w:r w:rsidRPr="00867208">
        <w:rPr>
          <w:sz w:val="24"/>
        </w:rPr>
        <w:t>Avant toute chose, un grand merci à Wikipedia…</w:t>
      </w:r>
    </w:p>
    <w:p w14:paraId="1B279ACC" w14:textId="77777777" w:rsidR="00897208" w:rsidRPr="00273839" w:rsidRDefault="00897208" w:rsidP="00897208">
      <w:pPr>
        <w:pStyle w:val="Titre7"/>
        <w:numPr>
          <w:ilvl w:val="0"/>
          <w:numId w:val="2"/>
        </w:numPr>
        <w:rPr>
          <w:b/>
          <w:sz w:val="28"/>
          <w:u w:val="single"/>
        </w:rPr>
      </w:pPr>
      <w:r w:rsidRPr="00897208">
        <w:t xml:space="preserve"> </w:t>
      </w:r>
      <w:r w:rsidRPr="00273839">
        <w:rPr>
          <w:b/>
          <w:sz w:val="28"/>
          <w:u w:val="single"/>
        </w:rPr>
        <w:t>Dérivée et intégrale : où les trouve-t-on ?</w:t>
      </w:r>
    </w:p>
    <w:p w14:paraId="596A381C" w14:textId="77777777" w:rsidR="00920A16" w:rsidRDefault="00463E9B" w:rsidP="00920A16">
      <w:pPr>
        <w:rPr>
          <w:noProof/>
          <w:lang w:eastAsia="fr-FR"/>
        </w:rPr>
      </w:pPr>
      <w:r>
        <w:t xml:space="preserve">Il suffit pour cela de regarder le compteur de vitesse de sa voiture qui nous donne la dérivée de la distance par rapport au temps… </w:t>
      </w:r>
    </w:p>
    <w:p w14:paraId="5AF76642" w14:textId="77777777" w:rsidR="00920A16" w:rsidRDefault="00920A16" w:rsidP="00920A16">
      <w:pPr>
        <w:jc w:val="center"/>
      </w:pPr>
      <w:r>
        <w:rPr>
          <w:noProof/>
          <w:lang w:eastAsia="fr-FR"/>
        </w:rPr>
        <w:drawing>
          <wp:inline distT="0" distB="0" distL="0" distR="0" wp14:anchorId="382D277B" wp14:editId="37507E17">
            <wp:extent cx="2819400" cy="2819400"/>
            <wp:effectExtent l="0" t="0" r="0" b="0"/>
            <wp:docPr id="3" name="Image 3" descr="Résultat de recherche d'images pour &quot;compteur de vite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ompteur de vitesse&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601AD4E1" w14:textId="77777777" w:rsidR="00897208" w:rsidRDefault="00463E9B" w:rsidP="00897208">
      <w:r>
        <w:t>En fait, tout ce qui concerne la vitesse d’un phénomène fait intervenir la notion de dérivée. Quant à l’accélération, c’est la dérivée de la vitesse…</w:t>
      </w:r>
    </w:p>
    <w:p w14:paraId="0065B2F4" w14:textId="77777777" w:rsidR="00463E9B" w:rsidRDefault="00463E9B" w:rsidP="00897208">
      <w:r>
        <w:t>Et le calcul intégral me direz-vous ? C’est le processus inverse</w:t>
      </w:r>
      <w:r w:rsidR="00920A16">
        <w:t>. Dans les smartphones, il y a ce qu’on appelle un accéléromètre et c’est, en partie, ce qui permet de calculer la distance parcourue lorsqu’on marche sans activer le GPS.</w:t>
      </w:r>
    </w:p>
    <w:p w14:paraId="588EEDBE" w14:textId="77777777" w:rsidR="00656462" w:rsidRDefault="00656462" w:rsidP="00656462">
      <w:pPr>
        <w:jc w:val="center"/>
      </w:pPr>
      <w:r>
        <w:rPr>
          <w:noProof/>
          <w:lang w:eastAsia="fr-FR"/>
        </w:rPr>
        <w:drawing>
          <wp:inline distT="0" distB="0" distL="0" distR="0" wp14:anchorId="2602121F" wp14:editId="387DF9F7">
            <wp:extent cx="1859280" cy="1859280"/>
            <wp:effectExtent l="0" t="0" r="7620" b="0"/>
            <wp:docPr id="5" name="Image 5" descr="Résultat de recherche d'images pour &quot;accéléromè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accéléromètr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inline>
        </w:drawing>
      </w:r>
    </w:p>
    <w:p w14:paraId="7E436737" w14:textId="77777777" w:rsidR="00656462" w:rsidRDefault="00656462" w:rsidP="00656462">
      <w:r>
        <w:t>C’est un peu moins visible…</w:t>
      </w:r>
    </w:p>
    <w:p w14:paraId="7ADBA55C" w14:textId="77777777" w:rsidR="00656462" w:rsidRDefault="00632826" w:rsidP="00656462">
      <w:pPr>
        <w:jc w:val="center"/>
      </w:pPr>
      <w:r>
        <w:rPr>
          <w:noProof/>
          <w:lang w:eastAsia="fr-FR"/>
        </w:rPr>
        <w:lastRenderedPageBreak/>
        <w:drawing>
          <wp:inline distT="0" distB="0" distL="0" distR="0" wp14:anchorId="53EB563D" wp14:editId="06585661">
            <wp:extent cx="2779331" cy="1759317"/>
            <wp:effectExtent l="0" t="0" r="254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éléromèt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9331" cy="1759317"/>
                    </a:xfrm>
                    <a:prstGeom prst="rect">
                      <a:avLst/>
                    </a:prstGeom>
                  </pic:spPr>
                </pic:pic>
              </a:graphicData>
            </a:graphic>
          </wp:inline>
        </w:drawing>
      </w:r>
    </w:p>
    <w:p w14:paraId="5763A857" w14:textId="77777777" w:rsidR="00656462" w:rsidRDefault="00656462" w:rsidP="00656462">
      <w:r>
        <w:t>Le principe</w:t>
      </w:r>
      <w:r w:rsidR="00532211">
        <w:t xml:space="preserve"> </w:t>
      </w:r>
      <w:r w:rsidR="00B65188">
        <w:t>de l’accéléromètre</w:t>
      </w:r>
      <w:r>
        <w:t>.</w:t>
      </w:r>
    </w:p>
    <w:p w14:paraId="253DFD6E" w14:textId="77777777" w:rsidR="00897208" w:rsidRPr="00273839" w:rsidRDefault="00920A16" w:rsidP="00920A16">
      <w:pPr>
        <w:pStyle w:val="Titre7"/>
        <w:numPr>
          <w:ilvl w:val="0"/>
          <w:numId w:val="2"/>
        </w:numPr>
        <w:rPr>
          <w:b/>
          <w:sz w:val="28"/>
          <w:u w:val="single"/>
        </w:rPr>
      </w:pPr>
      <w:r w:rsidRPr="00273839">
        <w:rPr>
          <w:b/>
          <w:sz w:val="28"/>
          <w:u w:val="single"/>
        </w:rPr>
        <w:t>Qui sont les responsables ?</w:t>
      </w:r>
    </w:p>
    <w:p w14:paraId="5630270C" w14:textId="77777777" w:rsidR="00920A16" w:rsidRDefault="00B963BF" w:rsidP="00920A16">
      <w:r>
        <w:t xml:space="preserve">En premier, on peut citer l’homme à qui on doit la poussée et qui est célèbre par son Eurêka qu’il aurait, selon les témoins, crié </w:t>
      </w:r>
      <w:r w:rsidR="0076460A">
        <w:t xml:space="preserve">dans la rue </w:t>
      </w:r>
      <w:r>
        <w:t>en sortant tout nu de son bain…</w:t>
      </w:r>
    </w:p>
    <w:p w14:paraId="1056D925" w14:textId="77777777" w:rsidR="00B963BF" w:rsidRDefault="00B963BF" w:rsidP="00B963BF">
      <w:pPr>
        <w:jc w:val="center"/>
      </w:pPr>
      <w:r>
        <w:rPr>
          <w:noProof/>
          <w:lang w:eastAsia="fr-FR"/>
        </w:rPr>
        <w:drawing>
          <wp:inline distT="0" distB="0" distL="0" distR="0" wp14:anchorId="05F67027" wp14:editId="5A394263">
            <wp:extent cx="1356360" cy="1795327"/>
            <wp:effectExtent l="0" t="0" r="0" b="0"/>
            <wp:docPr id="7" name="Image 7"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 cette image, également commentée ci-aprè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106" cy="1798962"/>
                    </a:xfrm>
                    <a:prstGeom prst="rect">
                      <a:avLst/>
                    </a:prstGeom>
                    <a:noFill/>
                    <a:ln>
                      <a:noFill/>
                    </a:ln>
                  </pic:spPr>
                </pic:pic>
              </a:graphicData>
            </a:graphic>
          </wp:inline>
        </w:drawing>
      </w:r>
    </w:p>
    <w:p w14:paraId="6ED5157D" w14:textId="77777777" w:rsidR="00B963BF" w:rsidRDefault="00B963BF" w:rsidP="00B963BF">
      <w:r>
        <w:t>Vous avez tous reconnu Archimède…</w:t>
      </w:r>
      <w:r w:rsidR="0076460A">
        <w:t xml:space="preserve"> Il porte en lui le lourd fardeau d’être le précurseur du calcul infinitésimal.</w:t>
      </w:r>
    </w:p>
    <w:p w14:paraId="7FA64D53" w14:textId="77777777" w:rsidR="00867208" w:rsidRDefault="00DA19DF" w:rsidP="00B963BF">
      <w:hyperlink r:id="rId12" w:history="1">
        <w:r w:rsidR="00867208">
          <w:rPr>
            <w:rStyle w:val="Lienhypertexte"/>
          </w:rPr>
          <w:t>https://fr.wikipedia.org/wiki/Archim%C3%A8de</w:t>
        </w:r>
      </w:hyperlink>
    </w:p>
    <w:p w14:paraId="29F15F2B" w14:textId="77777777" w:rsidR="00B65188" w:rsidRDefault="00B65188" w:rsidP="00AD4BB8">
      <w:bookmarkStart w:id="0" w:name="_Hlk81822311"/>
      <w:r>
        <w:t>Voici comment les anciens calculaient le volume d’une pyramide :</w:t>
      </w:r>
    </w:p>
    <w:p w14:paraId="2BDCAB65" w14:textId="77777777" w:rsidR="00AD4BB8" w:rsidRDefault="00AD4BB8" w:rsidP="00AD4BB8">
      <w:r>
        <w:t>Ils découpaient la pyramide en n morceaux pour obtenir ce</w:t>
      </w:r>
      <w:r w:rsidR="002E34A6">
        <w:t xml:space="preserve"> qui correspond à une pyramide à</w:t>
      </w:r>
      <w:r>
        <w:t xml:space="preserve"> degrés</w:t>
      </w:r>
    </w:p>
    <w:p w14:paraId="4BA81310" w14:textId="77777777" w:rsidR="00AD4BB8" w:rsidRDefault="00AD4BB8" w:rsidP="00AD4BB8">
      <w:r>
        <w:t xml:space="preserve">Comme à </w:t>
      </w:r>
      <w:proofErr w:type="spellStart"/>
      <w:r>
        <w:t>Saqqara</w:t>
      </w:r>
      <w:proofErr w:type="spellEnd"/>
    </w:p>
    <w:bookmarkEnd w:id="0"/>
    <w:p w14:paraId="09F030B2" w14:textId="77777777" w:rsidR="00AD4BB8" w:rsidRDefault="00AD4BB8" w:rsidP="00AD4BB8">
      <w:pPr>
        <w:jc w:val="center"/>
      </w:pPr>
      <w:r>
        <w:rPr>
          <w:noProof/>
          <w:lang w:eastAsia="fr-FR"/>
        </w:rPr>
        <w:drawing>
          <wp:inline distT="0" distB="0" distL="0" distR="0" wp14:anchorId="61B4AEF9" wp14:editId="6BA96C95">
            <wp:extent cx="2834753" cy="1683916"/>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Pyramid-at-Saqqa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7915" cy="1685794"/>
                    </a:xfrm>
                    <a:prstGeom prst="rect">
                      <a:avLst/>
                    </a:prstGeom>
                  </pic:spPr>
                </pic:pic>
              </a:graphicData>
            </a:graphic>
          </wp:inline>
        </w:drawing>
      </w:r>
    </w:p>
    <w:p w14:paraId="5E88D502" w14:textId="77777777" w:rsidR="00AD4BB8" w:rsidRDefault="00AD4BB8" w:rsidP="00B963BF">
      <w:bookmarkStart w:id="1" w:name="_Hlk81822584"/>
      <w:r>
        <w:t>Là, j’ai retourné la pyramide pour simplifier les calculs.</w:t>
      </w:r>
    </w:p>
    <w:bookmarkEnd w:id="1"/>
    <w:p w14:paraId="42609E58" w14:textId="77777777" w:rsidR="00AD4BB8" w:rsidRDefault="00C859D0" w:rsidP="00AD4BB8">
      <w:pPr>
        <w:jc w:val="center"/>
      </w:pPr>
      <w:r>
        <w:rPr>
          <w:noProof/>
          <w:lang w:eastAsia="fr-FR"/>
        </w:rPr>
        <w:lastRenderedPageBreak/>
        <w:drawing>
          <wp:inline distT="0" distB="0" distL="0" distR="0" wp14:anchorId="5DB78012" wp14:editId="63B91AC3">
            <wp:extent cx="3444240" cy="2737321"/>
            <wp:effectExtent l="0" t="0" r="381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 deg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0380" cy="2742201"/>
                    </a:xfrm>
                    <a:prstGeom prst="rect">
                      <a:avLst/>
                    </a:prstGeom>
                  </pic:spPr>
                </pic:pic>
              </a:graphicData>
            </a:graphic>
          </wp:inline>
        </w:drawing>
      </w:r>
    </w:p>
    <w:p w14:paraId="0FA77009" w14:textId="77777777" w:rsidR="00C85460" w:rsidRDefault="00AD4BB8" w:rsidP="00AD4BB8">
      <w:r>
        <w:t xml:space="preserve">On </w:t>
      </w:r>
      <w:r w:rsidR="00D66671">
        <w:t>saucissonne cette</w:t>
      </w:r>
      <w:r>
        <w:t xml:space="preserve"> pyramide</w:t>
      </w:r>
      <w:r w:rsidR="00D66671">
        <w:t xml:space="preserve"> en </w:t>
      </w:r>
      <m:oMath>
        <m:r>
          <w:rPr>
            <w:rFonts w:ascii="Cambria Math" w:hAnsi="Cambria Math"/>
          </w:rPr>
          <m:t>n</m:t>
        </m:r>
      </m:oMath>
      <w:r>
        <w:t xml:space="preserve"> </w:t>
      </w:r>
      <w:r w:rsidR="00D66671">
        <w:t xml:space="preserve">morceaux et on approche son volume </w:t>
      </w:r>
      <w:r>
        <w:t xml:space="preserve">par une succession de </w:t>
      </w:r>
      <w:r w:rsidR="00797EF2">
        <w:t>« </w:t>
      </w:r>
      <w:r>
        <w:t>carrés</w:t>
      </w:r>
      <w:r w:rsidR="00797EF2">
        <w:t> </w:t>
      </w:r>
      <w:r w:rsidR="00FD78E6">
        <w:t xml:space="preserve">épais </w:t>
      </w:r>
      <w:r w:rsidR="00797EF2">
        <w:t>»</w:t>
      </w:r>
      <w:r>
        <w:t xml:space="preserve"> de c</w:t>
      </w:r>
      <w:r w:rsidR="002E34A6">
        <w:t>ô</w:t>
      </w:r>
      <w:r>
        <w:t xml:space="preserve">té </w:t>
      </w:r>
      <m:oMath>
        <m:r>
          <w:rPr>
            <w:rFonts w:ascii="Cambria Math" w:hAnsi="Cambria Math"/>
          </w:rPr>
          <m:t>i/n.a</m:t>
        </m:r>
      </m:oMath>
      <w:r>
        <w:t xml:space="preserve"> </w:t>
      </w:r>
      <w:r w:rsidR="00C85460">
        <w:t xml:space="preserve">et de </w:t>
      </w:r>
      <w:r>
        <w:t>hauteur</w:t>
      </w:r>
      <w:r w:rsidR="00C85460">
        <w:t xml:space="preserve"> </w:t>
      </w:r>
      <m:oMath>
        <m:r>
          <w:rPr>
            <w:rFonts w:ascii="Cambria Math" w:hAnsi="Cambria Math"/>
          </w:rPr>
          <m:t>h/n</m:t>
        </m:r>
      </m:oMath>
      <w:r w:rsidR="00797EF2">
        <w:rPr>
          <w:rFonts w:eastAsiaTheme="minorEastAsia"/>
        </w:rPr>
        <w:t>.</w:t>
      </w:r>
      <w:r>
        <w:t xml:space="preserve"> Le volume obtenu vaut alors </w:t>
      </w:r>
    </w:p>
    <w:p w14:paraId="2581C97C" w14:textId="77777777" w:rsidR="00C85460" w:rsidRDefault="00DA19DF" w:rsidP="00C85460">
      <w:pPr>
        <w:jc w:val="center"/>
        <w:rPr>
          <w:rFonts w:eastAsiaTheme="minorEastAsia"/>
        </w:rPr>
      </w:p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i</m:t>
                    </m:r>
                  </m:num>
                  <m:den>
                    <m:r>
                      <w:rPr>
                        <w:rFonts w:ascii="Cambria Math" w:hAnsi="Cambria Math"/>
                      </w:rPr>
                      <m:t>n</m:t>
                    </m:r>
                  </m:den>
                </m:f>
                <m:r>
                  <w:rPr>
                    <w:rFonts w:ascii="Cambria Math" w:hAnsi="Cambria Math"/>
                  </w:rPr>
                  <m:t>.a</m:t>
                </m:r>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n</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i²</m:t>
            </m:r>
          </m:num>
          <m:den>
            <m:r>
              <w:rPr>
                <w:rFonts w:ascii="Cambria Math" w:eastAsiaTheme="minorEastAsia" w:hAnsi="Cambria Math"/>
              </w:rPr>
              <m:t>n^3</m:t>
            </m:r>
          </m:den>
        </m:f>
        <m:r>
          <w:rPr>
            <w:rFonts w:ascii="Cambria Math" w:hAnsi="Cambria Math"/>
          </w:rPr>
          <m:t>.a²h</m:t>
        </m:r>
      </m:oMath>
      <w:r w:rsidR="00797EF2">
        <w:rPr>
          <w:rFonts w:eastAsiaTheme="minorEastAsia"/>
        </w:rPr>
        <w:t>.</w:t>
      </w:r>
    </w:p>
    <w:p w14:paraId="7F1B6712" w14:textId="77777777" w:rsidR="00AD4BB8" w:rsidRDefault="00797EF2" w:rsidP="00AD4BB8">
      <w:pPr>
        <w:rPr>
          <w:rFonts w:eastAsiaTheme="minorEastAsia"/>
        </w:rPr>
      </w:pPr>
      <w:r>
        <w:rPr>
          <w:rFonts w:eastAsiaTheme="minorEastAsia"/>
        </w:rPr>
        <w:t>On fait la somme</w:t>
      </w:r>
      <w:r w:rsidR="00C85460">
        <w:rPr>
          <w:rFonts w:eastAsiaTheme="minorEastAsia"/>
        </w:rPr>
        <w:t xml:space="preserve"> des volumes</w:t>
      </w:r>
      <w:r>
        <w:rPr>
          <w:rFonts w:eastAsiaTheme="minorEastAsia"/>
        </w:rPr>
        <w:t xml:space="preserve"> de tous ces carrés (âmes sensibles, s’abstenir) :</w:t>
      </w:r>
    </w:p>
    <w:p w14:paraId="594E1340" w14:textId="77777777" w:rsidR="00797EF2" w:rsidRPr="00797EF2" w:rsidRDefault="00DA19DF" w:rsidP="00AD4BB8">
      <w:pPr>
        <w:rPr>
          <w:rFonts w:eastAsiaTheme="minorEastAsia"/>
        </w:rPr>
      </w:pPr>
      <m:oMathPara>
        <m:oMath>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3</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2</m:t>
                      </m:r>
                    </m:sup>
                  </m:sSup>
                </m:num>
                <m:den>
                  <m:sSup>
                    <m:sSupPr>
                      <m:ctrlPr>
                        <w:rPr>
                          <w:rFonts w:ascii="Cambria Math" w:hAnsi="Cambria Math"/>
                          <w:i/>
                        </w:rPr>
                      </m:ctrlPr>
                    </m:sSupPr>
                    <m:e>
                      <m:r>
                        <w:rPr>
                          <w:rFonts w:ascii="Cambria Math" w:hAnsi="Cambria Math"/>
                        </w:rPr>
                        <m:t>n</m:t>
                      </m:r>
                    </m:e>
                    <m:sup>
                      <m:r>
                        <w:rPr>
                          <w:rFonts w:ascii="Cambria Math" w:hAnsi="Cambria Math"/>
                        </w:rPr>
                        <m:t>3</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num>
                <m:den>
                  <m:sSup>
                    <m:sSupPr>
                      <m:ctrlPr>
                        <w:rPr>
                          <w:rFonts w:ascii="Cambria Math" w:hAnsi="Cambria Math"/>
                          <w:i/>
                        </w:rPr>
                      </m:ctrlPr>
                    </m:sSupPr>
                    <m:e>
                      <m:r>
                        <w:rPr>
                          <w:rFonts w:ascii="Cambria Math" w:hAnsi="Cambria Math"/>
                        </w:rPr>
                        <m:t>n</m:t>
                      </m:r>
                    </m:e>
                    <m:sup>
                      <m:r>
                        <w:rPr>
                          <w:rFonts w:ascii="Cambria Math" w:hAnsi="Cambria Math"/>
                        </w:rPr>
                        <m:t>3</m:t>
                      </m:r>
                    </m:sup>
                  </m:sSup>
                </m:den>
              </m:f>
            </m:e>
          </m:d>
          <m:r>
            <w:rPr>
              <w:rFonts w:ascii="Cambria Math" w:hAnsi="Cambria Math"/>
            </w:rPr>
            <m:t>.a²h=</m:t>
          </m:r>
          <m:f>
            <m:fPr>
              <m:ctrlPr>
                <w:rPr>
                  <w:rFonts w:ascii="Cambria Math" w:hAnsi="Cambria Math"/>
                  <w:i/>
                </w:rPr>
              </m:ctrlPr>
            </m:fPr>
            <m:num>
              <m:r>
                <w:rPr>
                  <w:rFonts w:ascii="Cambria Math" w:hAnsi="Cambria Math"/>
                </w:rPr>
                <m:t>n(n+1)(2n+1)</m:t>
              </m:r>
            </m:num>
            <m:den>
              <m:r>
                <w:rPr>
                  <w:rFonts w:ascii="Cambria Math" w:hAnsi="Cambria Math"/>
                </w:rPr>
                <m:t>6</m:t>
              </m:r>
              <m:sSup>
                <m:sSupPr>
                  <m:ctrlPr>
                    <w:rPr>
                      <w:rFonts w:ascii="Cambria Math" w:hAnsi="Cambria Math"/>
                      <w:i/>
                    </w:rPr>
                  </m:ctrlPr>
                </m:sSupPr>
                <m:e>
                  <m:r>
                    <w:rPr>
                      <w:rFonts w:ascii="Cambria Math" w:hAnsi="Cambria Math"/>
                    </w:rPr>
                    <m:t>n</m:t>
                  </m:r>
                </m:e>
                <m:sup>
                  <m:r>
                    <w:rPr>
                      <w:rFonts w:ascii="Cambria Math" w:hAnsi="Cambria Math"/>
                    </w:rPr>
                    <m:t>3</m:t>
                  </m:r>
                </m:sup>
              </m:sSup>
            </m:den>
          </m:f>
          <m:r>
            <w:rPr>
              <w:rFonts w:ascii="Cambria Math" w:hAnsi="Cambria Math"/>
            </w:rPr>
            <m:t>.a²h</m:t>
          </m:r>
        </m:oMath>
      </m:oMathPara>
    </w:p>
    <w:p w14:paraId="234565E1" w14:textId="77777777" w:rsidR="00797EF2" w:rsidRDefault="00797EF2" w:rsidP="00AD4BB8">
      <w:pPr>
        <w:rPr>
          <w:rFonts w:eastAsiaTheme="minorEastAsia"/>
        </w:rPr>
      </w:pPr>
      <w:r>
        <w:rPr>
          <w:rFonts w:eastAsiaTheme="minorEastAsia"/>
        </w:rPr>
        <w:t xml:space="preserve">Et en prenant </w:t>
      </w:r>
      <m:oMath>
        <m:r>
          <w:rPr>
            <w:rFonts w:ascii="Cambria Math" w:eastAsiaTheme="minorEastAsia" w:hAnsi="Cambria Math"/>
          </w:rPr>
          <m:t>n</m:t>
        </m:r>
      </m:oMath>
      <w:r>
        <w:rPr>
          <w:rFonts w:eastAsiaTheme="minorEastAsia"/>
        </w:rPr>
        <w:t xml:space="preserve"> très grand, on arrive à la formule </w:t>
      </w:r>
      <m:oMath>
        <m:r>
          <w:rPr>
            <w:rFonts w:ascii="Cambria Math" w:eastAsiaTheme="minorEastAsia" w:hAnsi="Cambria Math"/>
          </w:rPr>
          <m:t>a²h/</m:t>
        </m:r>
        <m:r>
          <w:rPr>
            <w:rFonts w:ascii="Cambria Math" w:eastAsiaTheme="minorEastAsia" w:hAnsi="Cambria Math"/>
          </w:rPr>
          <m:t>3</m:t>
        </m:r>
      </m:oMath>
      <w:r>
        <w:rPr>
          <w:rFonts w:eastAsiaTheme="minorEastAsia"/>
        </w:rPr>
        <w:t xml:space="preserve"> ce qui se dit en français :</w:t>
      </w:r>
    </w:p>
    <w:p w14:paraId="3862243B" w14:textId="77777777" w:rsidR="00797EF2" w:rsidRDefault="00797EF2" w:rsidP="00797EF2">
      <w:pPr>
        <w:jc w:val="center"/>
        <w:rPr>
          <w:rFonts w:eastAsiaTheme="minorEastAsia"/>
          <w:b/>
          <w:sz w:val="24"/>
        </w:rPr>
      </w:pPr>
      <w:r w:rsidRPr="00797EF2">
        <w:rPr>
          <w:rFonts w:eastAsiaTheme="minorEastAsia"/>
          <w:b/>
          <w:sz w:val="24"/>
        </w:rPr>
        <w:t>Le volume d’une pyramide est égal au tiers de l’aire de la base multiplié par la hauteur.</w:t>
      </w:r>
    </w:p>
    <w:p w14:paraId="2814CDD1" w14:textId="77777777" w:rsidR="00797EF2" w:rsidRPr="00797EF2" w:rsidRDefault="00797EF2" w:rsidP="00797EF2">
      <w:r w:rsidRPr="00797EF2">
        <w:rPr>
          <w:rFonts w:eastAsiaTheme="minorEastAsia"/>
        </w:rPr>
        <w:t>En fait, ce calcul peut</w:t>
      </w:r>
      <w:r>
        <w:rPr>
          <w:rFonts w:eastAsiaTheme="minorEastAsia"/>
        </w:rPr>
        <w:t xml:space="preserve"> </w:t>
      </w:r>
      <w:r w:rsidR="002240C9">
        <w:rPr>
          <w:rFonts w:eastAsiaTheme="minorEastAsia"/>
        </w:rPr>
        <w:t>être simplifié grâce à la notion d’intégrale</w:t>
      </w:r>
      <w:r w:rsidR="004B0ECB">
        <w:rPr>
          <w:rFonts w:eastAsiaTheme="minorEastAsia"/>
        </w:rPr>
        <w:t>…</w:t>
      </w:r>
    </w:p>
    <w:p w14:paraId="4128915C" w14:textId="77777777" w:rsidR="0076460A" w:rsidRDefault="0076460A" w:rsidP="00B963BF">
      <w:r>
        <w:t>Il a fallu attendre le 17ième siècle avec Fermat et sa méthode des tangentes, violemment critiquée à tort par Descartes, pour voir réapparaître ce fameux calcul…</w:t>
      </w:r>
    </w:p>
    <w:p w14:paraId="4C5D465F" w14:textId="77777777" w:rsidR="00CD4939" w:rsidRDefault="00CD4939" w:rsidP="00CD4939">
      <w:pPr>
        <w:keepNext/>
        <w:jc w:val="center"/>
      </w:pPr>
      <w:r>
        <w:rPr>
          <w:noProof/>
          <w:lang w:eastAsia="fr-FR"/>
        </w:rPr>
        <w:drawing>
          <wp:inline distT="0" distB="0" distL="0" distR="0" wp14:anchorId="4F449E14" wp14:editId="16714D0B">
            <wp:extent cx="1303020" cy="1743678"/>
            <wp:effectExtent l="0" t="0" r="0" b="9525"/>
            <wp:docPr id="10" name="Image 10" descr="https://upload.wikimedia.org/wikipedia/commons/thumb/f/f3/Pierre_de_Fermat.jpg/220px-Pierre_de_Fe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f/f3/Pierre_de_Fermat.jpg/220px-Pierre_de_Ferma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8927" cy="1751583"/>
                    </a:xfrm>
                    <a:prstGeom prst="rect">
                      <a:avLst/>
                    </a:prstGeom>
                    <a:noFill/>
                    <a:ln>
                      <a:noFill/>
                    </a:ln>
                  </pic:spPr>
                </pic:pic>
              </a:graphicData>
            </a:graphic>
          </wp:inline>
        </w:drawing>
      </w:r>
    </w:p>
    <w:p w14:paraId="31617D15" w14:textId="77777777" w:rsidR="00CD4939" w:rsidRDefault="00CD4939" w:rsidP="00CD4939">
      <w:pPr>
        <w:pStyle w:val="Lgende"/>
        <w:jc w:val="center"/>
      </w:pPr>
      <w:r>
        <w:t>Fermat</w:t>
      </w:r>
    </w:p>
    <w:p w14:paraId="04086EEA" w14:textId="77777777" w:rsidR="00867208" w:rsidRPr="00867208" w:rsidRDefault="00DA19DF" w:rsidP="00867208">
      <w:hyperlink r:id="rId16" w:history="1">
        <w:r w:rsidR="00867208">
          <w:rPr>
            <w:rStyle w:val="Lienhypertexte"/>
          </w:rPr>
          <w:t>https://fr.wikipedia.org/wiki/Pierre_de_Fermat</w:t>
        </w:r>
      </w:hyperlink>
    </w:p>
    <w:p w14:paraId="5293CA25" w14:textId="77777777" w:rsidR="00CD4939" w:rsidRDefault="0076460A" w:rsidP="00B963BF">
      <w:r>
        <w:t>Newton (en 1669) déve</w:t>
      </w:r>
      <w:r w:rsidR="00CD4939">
        <w:t>loppe la théorie des fluxions.</w:t>
      </w:r>
    </w:p>
    <w:p w14:paraId="0ABEBDB1" w14:textId="77777777" w:rsidR="00CD4939" w:rsidRDefault="00CD4939" w:rsidP="00CD4939">
      <w:pPr>
        <w:keepNext/>
        <w:jc w:val="center"/>
      </w:pPr>
      <w:r>
        <w:rPr>
          <w:noProof/>
          <w:lang w:eastAsia="fr-FR"/>
        </w:rPr>
        <w:lastRenderedPageBreak/>
        <w:drawing>
          <wp:inline distT="0" distB="0" distL="0" distR="0" wp14:anchorId="13A5686E" wp14:editId="4BA3F7BC">
            <wp:extent cx="1348740" cy="1638106"/>
            <wp:effectExtent l="0" t="0" r="3810" b="635"/>
            <wp:docPr id="9" name="Image 9" descr="https://upload.wikimedia.org/wikipedia/commons/thumb/5/50/Sir_Isaac_Newton_by_Sir_Godfrey_Kneller%2C_Bt.jpg/220px-Sir_Isaac_Newton_by_Sir_Godfrey_Kneller%2C_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5/50/Sir_Isaac_Newton_by_Sir_Godfrey_Kneller%2C_Bt.jpg/220px-Sir_Isaac_Newton_by_Sir_Godfrey_Kneller%2C_B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148" cy="1642245"/>
                    </a:xfrm>
                    <a:prstGeom prst="rect">
                      <a:avLst/>
                    </a:prstGeom>
                    <a:noFill/>
                    <a:ln>
                      <a:noFill/>
                    </a:ln>
                  </pic:spPr>
                </pic:pic>
              </a:graphicData>
            </a:graphic>
          </wp:inline>
        </w:drawing>
      </w:r>
    </w:p>
    <w:p w14:paraId="527FF762" w14:textId="77777777" w:rsidR="00CD4939" w:rsidRDefault="00CD4939" w:rsidP="00CD4939">
      <w:pPr>
        <w:pStyle w:val="Lgende"/>
        <w:jc w:val="center"/>
      </w:pPr>
      <w:r>
        <w:t>Newton</w:t>
      </w:r>
    </w:p>
    <w:p w14:paraId="12423A67" w14:textId="77777777" w:rsidR="00867208" w:rsidRPr="00867208" w:rsidRDefault="00DA19DF" w:rsidP="00867208">
      <w:hyperlink r:id="rId18" w:history="1">
        <w:r w:rsidR="00867208">
          <w:rPr>
            <w:rStyle w:val="Lienhypertexte"/>
          </w:rPr>
          <w:t>https://fr.wikipedia.org/wiki/Isaac_Newton</w:t>
        </w:r>
      </w:hyperlink>
    </w:p>
    <w:p w14:paraId="11C7460E" w14:textId="77777777" w:rsidR="00CD4939" w:rsidRDefault="00D839C5" w:rsidP="00B963BF">
      <w:pPr>
        <w:rPr>
          <w:i/>
        </w:rPr>
      </w:pPr>
      <w:bookmarkStart w:id="2" w:name="_Hlk81822992"/>
      <w:r>
        <w:t xml:space="preserve">Leibniz, </w:t>
      </w:r>
      <w:r w:rsidR="0076460A">
        <w:t xml:space="preserve">philosophe, parle sans complexe de quantités infinitésimales </w:t>
      </w:r>
      <w:r w:rsidR="000C2CFA">
        <w:t xml:space="preserve">et utilise pour ceci la notation </w:t>
      </w:r>
      <m:oMath>
        <m:r>
          <w:rPr>
            <w:rFonts w:ascii="Cambria Math" w:hAnsi="Cambria Math"/>
          </w:rPr>
          <m:t>dx</m:t>
        </m:r>
      </m:oMath>
      <w:r w:rsidR="000C2CFA">
        <w:rPr>
          <w:i/>
        </w:rPr>
        <w:t xml:space="preserve"> </w:t>
      </w:r>
      <w:r w:rsidR="000C2CFA">
        <w:t xml:space="preserve">pour désigner un accroissement infiniment petit de la variable </w:t>
      </w:r>
      <w:r w:rsidR="000C2CFA" w:rsidRPr="000C2CFA">
        <w:rPr>
          <w:i/>
        </w:rPr>
        <w:t>x</w:t>
      </w:r>
      <w:r w:rsidR="000C2CFA">
        <w:rPr>
          <w:i/>
        </w:rPr>
        <w:t xml:space="preserve">. </w:t>
      </w:r>
      <w:r w:rsidR="00867208">
        <w:t xml:space="preserve">Il note </w:t>
      </w:r>
      <m:oMath>
        <m:r>
          <w:rPr>
            <w:rFonts w:ascii="Cambria Math" w:hAnsi="Cambria Math"/>
          </w:rPr>
          <m:t>dy/dx</m:t>
        </m:r>
      </m:oMath>
      <w:r w:rsidR="000C2CFA">
        <w:rPr>
          <w:i/>
        </w:rPr>
        <w:t xml:space="preserve"> </w:t>
      </w:r>
      <w:r w:rsidR="000C2CFA">
        <w:t xml:space="preserve">le rapport des accroissements infinitésimaux de </w:t>
      </w:r>
      <w:r w:rsidR="000C2CFA" w:rsidRPr="000C2CFA">
        <w:rPr>
          <w:i/>
        </w:rPr>
        <w:t>y</w:t>
      </w:r>
      <w:r w:rsidR="000C2CFA">
        <w:rPr>
          <w:i/>
        </w:rPr>
        <w:t xml:space="preserve"> </w:t>
      </w:r>
      <w:r w:rsidR="000C2CFA" w:rsidRPr="000C2CFA">
        <w:t>et de</w:t>
      </w:r>
      <w:r w:rsidR="000C2CFA">
        <w:rPr>
          <w:i/>
        </w:rPr>
        <w:t xml:space="preserve"> x.</w:t>
      </w:r>
      <w:r>
        <w:rPr>
          <w:i/>
        </w:rPr>
        <w:t xml:space="preserve"> </w:t>
      </w:r>
      <w:r w:rsidRPr="00D839C5">
        <w:t>Si</w:t>
      </w:r>
      <w:r>
        <w:t xml:space="preserve"> </w:t>
      </w:r>
      <w:r w:rsidRPr="00D839C5">
        <w:rPr>
          <w:i/>
        </w:rPr>
        <w:t>y</w:t>
      </w:r>
      <w:r>
        <w:t xml:space="preserve"> est fonction d’</w:t>
      </w:r>
      <w:r w:rsidRPr="00D839C5">
        <w:rPr>
          <w:i/>
        </w:rPr>
        <w:t>x</w:t>
      </w:r>
      <w:r>
        <w:t xml:space="preserve"> : </w:t>
      </w:r>
      <m:oMath>
        <m:r>
          <w:rPr>
            <w:rFonts w:ascii="Cambria Math" w:hAnsi="Cambria Math"/>
          </w:rPr>
          <m:t>y=f(x)</m:t>
        </m:r>
      </m:oMath>
      <w:r>
        <w:rPr>
          <w:rFonts w:eastAsiaTheme="minorEastAsia"/>
        </w:rPr>
        <w:t xml:space="preserve">, alors il a aussi introduit la notation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p>
    <w:bookmarkEnd w:id="2"/>
    <w:p w14:paraId="24D74940" w14:textId="77777777" w:rsidR="00CD4939" w:rsidRDefault="00CD4939" w:rsidP="00CD4939">
      <w:pPr>
        <w:keepNext/>
        <w:jc w:val="center"/>
      </w:pPr>
      <w:r>
        <w:rPr>
          <w:noProof/>
          <w:lang w:eastAsia="fr-FR"/>
        </w:rPr>
        <w:drawing>
          <wp:inline distT="0" distB="0" distL="0" distR="0" wp14:anchorId="6C63D4D7" wp14:editId="4CE92B60">
            <wp:extent cx="1340637" cy="1691640"/>
            <wp:effectExtent l="0" t="0" r="0" b="3810"/>
            <wp:docPr id="8" name="Image 8" descr="https://upload.wikimedia.org/wikipedia/commons/thumb/6/6a/Gottfried_Wilhelm_von_Leibniz.jpg/220px-Gottfried_Wilhelm_von_Leibn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6/6a/Gottfried_Wilhelm_von_Leibniz.jpg/220px-Gottfried_Wilhelm_von_Leibni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0637" cy="1691640"/>
                    </a:xfrm>
                    <a:prstGeom prst="rect">
                      <a:avLst/>
                    </a:prstGeom>
                    <a:noFill/>
                    <a:ln>
                      <a:noFill/>
                    </a:ln>
                  </pic:spPr>
                </pic:pic>
              </a:graphicData>
            </a:graphic>
          </wp:inline>
        </w:drawing>
      </w:r>
    </w:p>
    <w:p w14:paraId="7221DEA2" w14:textId="77777777" w:rsidR="0076460A" w:rsidRDefault="00CD4939" w:rsidP="00CD4939">
      <w:pPr>
        <w:pStyle w:val="Lgende"/>
        <w:jc w:val="center"/>
      </w:pPr>
      <w:r>
        <w:t xml:space="preserve"> Leibniz</w:t>
      </w:r>
    </w:p>
    <w:p w14:paraId="1866EA82" w14:textId="77777777" w:rsidR="00867208" w:rsidRDefault="00DA19DF" w:rsidP="00867208">
      <w:pPr>
        <w:rPr>
          <w:rStyle w:val="Lienhypertexte"/>
        </w:rPr>
      </w:pPr>
      <w:hyperlink r:id="rId20" w:history="1">
        <w:r w:rsidR="00867208">
          <w:rPr>
            <w:rStyle w:val="Lienhypertexte"/>
          </w:rPr>
          <w:t>https://fr.wikipedia.org/wiki/Gottfried_Wilhelm_Leibniz</w:t>
        </w:r>
      </w:hyperlink>
    </w:p>
    <w:p w14:paraId="3F3F483B" w14:textId="77777777" w:rsidR="00FE27E6" w:rsidRPr="00FE27E6" w:rsidRDefault="00FE27E6" w:rsidP="00867208">
      <w:pPr>
        <w:rPr>
          <w:color w:val="000000" w:themeColor="text1"/>
        </w:rPr>
      </w:pPr>
      <w:r w:rsidRPr="00FE27E6">
        <w:rPr>
          <w:rStyle w:val="Lienhypertexte"/>
          <w:color w:val="000000" w:themeColor="text1"/>
          <w:u w:val="none"/>
        </w:rPr>
        <w:t>Il y a eu de nombreuses</w:t>
      </w:r>
      <w:r>
        <w:rPr>
          <w:rStyle w:val="Lienhypertexte"/>
          <w:color w:val="000000" w:themeColor="text1"/>
          <w:u w:val="none"/>
        </w:rPr>
        <w:t xml:space="preserve"> critiques car on reprochait à cette méthode de faire une division de 0 par 0. Il y fallu attendre le 19</w:t>
      </w:r>
      <w:r w:rsidRPr="00FE27E6">
        <w:rPr>
          <w:rStyle w:val="Lienhypertexte"/>
          <w:color w:val="000000" w:themeColor="text1"/>
          <w:u w:val="none"/>
          <w:vertAlign w:val="superscript"/>
        </w:rPr>
        <w:t>ième</w:t>
      </w:r>
      <w:r>
        <w:rPr>
          <w:rStyle w:val="Lienhypertexte"/>
          <w:color w:val="000000" w:themeColor="text1"/>
          <w:u w:val="none"/>
        </w:rPr>
        <w:t xml:space="preserve"> siècle pour qu’on donne une formulation rigoureuse avec la notion de limite. Le 20</w:t>
      </w:r>
      <w:r w:rsidRPr="00FE27E6">
        <w:rPr>
          <w:rStyle w:val="Lienhypertexte"/>
          <w:color w:val="000000" w:themeColor="text1"/>
          <w:u w:val="none"/>
          <w:vertAlign w:val="superscript"/>
        </w:rPr>
        <w:t>ième</w:t>
      </w:r>
      <w:r>
        <w:rPr>
          <w:rStyle w:val="Lienhypertexte"/>
          <w:color w:val="000000" w:themeColor="text1"/>
          <w:u w:val="none"/>
        </w:rPr>
        <w:t xml:space="preserve"> siècle</w:t>
      </w:r>
      <w:r w:rsidR="002E34A6">
        <w:rPr>
          <w:rStyle w:val="Lienhypertexte"/>
          <w:color w:val="000000" w:themeColor="text1"/>
          <w:u w:val="none"/>
        </w:rPr>
        <w:t xml:space="preserve"> quant à</w:t>
      </w:r>
      <w:r>
        <w:rPr>
          <w:rStyle w:val="Lienhypertexte"/>
          <w:color w:val="000000" w:themeColor="text1"/>
          <w:u w:val="none"/>
        </w:rPr>
        <w:t xml:space="preserve"> lui a apporté une approche axiomatique de la notion d’infiniment petit avec l’Analyse Non Standard… Je vais quand même utiliser ces infiniments petits par la suite (sans la justification théorique heureusement) car elle sert beaucoup en Physique, en Biologie et ailleurs.</w:t>
      </w:r>
    </w:p>
    <w:p w14:paraId="79C2D273" w14:textId="77777777" w:rsidR="000C2CFA" w:rsidRDefault="000C2CFA" w:rsidP="00B963BF">
      <w:r>
        <w:t>Pour en revenir à notre compteur</w:t>
      </w:r>
      <w:r w:rsidR="00867208">
        <w:t xml:space="preserve"> de vitesse, on pourrait noter d</w:t>
      </w:r>
      <w:r w:rsidRPr="000C2CFA">
        <w:rPr>
          <w:i/>
        </w:rPr>
        <w:t>l</w:t>
      </w:r>
      <w:r w:rsidR="00867208">
        <w:t>/d</w:t>
      </w:r>
      <w:r w:rsidRPr="000C2CFA">
        <w:rPr>
          <w:i/>
        </w:rPr>
        <w:t>t</w:t>
      </w:r>
      <w:r>
        <w:rPr>
          <w:i/>
        </w:rPr>
        <w:t xml:space="preserve"> </w:t>
      </w:r>
      <w:r>
        <w:t xml:space="preserve">la vitesse instantanée (celle aussi que peut mesurer la maréchaussée), où </w:t>
      </w:r>
      <w:r w:rsidRPr="000C2CFA">
        <w:rPr>
          <w:i/>
        </w:rPr>
        <w:t>l</w:t>
      </w:r>
      <w:r>
        <w:t xml:space="preserve"> désigne la distance parcourue et </w:t>
      </w:r>
      <w:r w:rsidRPr="000C2CFA">
        <w:rPr>
          <w:i/>
        </w:rPr>
        <w:t>t</w:t>
      </w:r>
      <w:r>
        <w:t xml:space="preserve"> le temps.</w:t>
      </w:r>
    </w:p>
    <w:p w14:paraId="42108FDF" w14:textId="77777777" w:rsidR="000C2CFA" w:rsidRDefault="00867208" w:rsidP="00B963BF">
      <w:r>
        <w:t>C’est aussi Leibniz, le même tortionnaire qui réalise le fondement de la théorie de l’intégration.</w:t>
      </w:r>
    </w:p>
    <w:p w14:paraId="106C2EDD" w14:textId="77777777" w:rsidR="00867208" w:rsidRDefault="00867208" w:rsidP="00867208">
      <w:pPr>
        <w:jc w:val="center"/>
      </w:pPr>
      <w:r>
        <w:rPr>
          <w:noProof/>
          <w:lang w:eastAsia="fr-FR"/>
        </w:rPr>
        <w:lastRenderedPageBreak/>
        <w:drawing>
          <wp:inline distT="0" distB="0" distL="0" distR="0" wp14:anchorId="2831D1AD" wp14:editId="1A459E7C">
            <wp:extent cx="2316480" cy="1432356"/>
            <wp:effectExtent l="0" t="0" r="0" b="0"/>
            <wp:docPr id="1" name="Image 1" descr="https://upload.wikimedia.org/wikipedia/commons/thumb/c/c9/Aire_sous_la_courbe.svg/1920px-Aire_sous_la_courb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9/Aire_sous_la_courbe.svg/1920px-Aire_sous_la_courbe.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5483" cy="1437923"/>
                    </a:xfrm>
                    <a:prstGeom prst="rect">
                      <a:avLst/>
                    </a:prstGeom>
                    <a:noFill/>
                    <a:ln>
                      <a:noFill/>
                    </a:ln>
                  </pic:spPr>
                </pic:pic>
              </a:graphicData>
            </a:graphic>
          </wp:inline>
        </w:drawing>
      </w:r>
    </w:p>
    <w:p w14:paraId="214E8763" w14:textId="77777777" w:rsidR="00867208" w:rsidRDefault="00F706EC" w:rsidP="00867208">
      <w:pPr>
        <w:rPr>
          <w:rFonts w:eastAsiaTheme="minorEastAsia"/>
        </w:rPr>
      </w:pPr>
      <w:r>
        <w:t xml:space="preserve">Ce qu’il note </w:t>
      </w:r>
      <m:oMath>
        <m:nary>
          <m:naryPr>
            <m:limLoc m:val="subSup"/>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w:r>
        <w:rPr>
          <w:rFonts w:eastAsiaTheme="minorEastAsia"/>
        </w:rPr>
        <w:t xml:space="preserve"> </w:t>
      </w:r>
      <w:r w:rsidR="002240C9">
        <w:rPr>
          <w:rFonts w:eastAsiaTheme="minorEastAsia"/>
        </w:rPr>
        <w:t xml:space="preserve">et qui </w:t>
      </w:r>
      <w:r>
        <w:rPr>
          <w:rFonts w:eastAsiaTheme="minorEastAsia"/>
        </w:rPr>
        <w:t>désigne l’aire délimitée par la courbe d’équation</w:t>
      </w:r>
      <w:r w:rsidR="002E34A6">
        <w:rPr>
          <w:rFonts w:eastAsiaTheme="minorEastAsia"/>
        </w:rPr>
        <w:t xml:space="preserve"> </w:t>
      </w:r>
      <m:oMath>
        <m:r>
          <w:rPr>
            <w:rFonts w:ascii="Cambria Math" w:eastAsiaTheme="minorEastAsia" w:hAnsi="Cambria Math"/>
          </w:rPr>
          <m:t>y=f(x)</m:t>
        </m:r>
      </m:oMath>
      <w:r>
        <w:rPr>
          <w:rFonts w:eastAsiaTheme="minorEastAsia"/>
        </w:rPr>
        <w:t xml:space="preserve"> et l’axe des x.</w:t>
      </w:r>
      <w:r w:rsidR="002E34A6">
        <w:rPr>
          <w:rFonts w:eastAsiaTheme="minorEastAsia"/>
        </w:rPr>
        <w:t xml:space="preserve"> Le symbole </w:t>
      </w:r>
      <m:oMath>
        <m:nary>
          <m:naryPr>
            <m:limLoc m:val="undOvr"/>
            <m:subHide m:val="1"/>
            <m:supHide m:val="1"/>
            <m:ctrlPr>
              <w:rPr>
                <w:rFonts w:ascii="Cambria Math" w:eastAsiaTheme="minorEastAsia" w:hAnsi="Cambria Math"/>
                <w:i/>
              </w:rPr>
            </m:ctrlPr>
          </m:naryPr>
          <m:sub/>
          <m:sup/>
          <m:e>
            <m:r>
              <w:rPr>
                <w:rFonts w:ascii="Cambria Math" w:eastAsiaTheme="minorEastAsia" w:hAnsi="Cambria Math"/>
              </w:rPr>
              <m:t xml:space="preserve"> </m:t>
            </m:r>
          </m:e>
        </m:nary>
      </m:oMath>
      <w:r w:rsidR="002E34A6">
        <w:rPr>
          <w:rFonts w:eastAsiaTheme="minorEastAsia"/>
        </w:rPr>
        <w:t>correspond à un S allongé, S pour somme.</w:t>
      </w:r>
    </w:p>
    <w:p w14:paraId="5CACB628" w14:textId="77777777" w:rsidR="004B0ECB" w:rsidRDefault="004B0ECB" w:rsidP="00867208">
      <w:pPr>
        <w:rPr>
          <w:rFonts w:eastAsiaTheme="minorEastAsia"/>
        </w:rPr>
      </w:pPr>
      <w:r>
        <w:rPr>
          <w:rFonts w:eastAsiaTheme="minorEastAsia"/>
        </w:rPr>
        <w:t>Là aussi, avec un accéléromètre, en intégrant deux fois l’accélération, on peut calculer la distance parcourue.</w:t>
      </w:r>
    </w:p>
    <w:p w14:paraId="68D50A86" w14:textId="77777777" w:rsidR="0006180B" w:rsidRPr="00273839" w:rsidRDefault="0006180B" w:rsidP="0006180B">
      <w:pPr>
        <w:pStyle w:val="Paragraphedeliste"/>
        <w:numPr>
          <w:ilvl w:val="0"/>
          <w:numId w:val="2"/>
        </w:numPr>
        <w:rPr>
          <w:b/>
          <w:i/>
          <w:sz w:val="28"/>
          <w:u w:val="single"/>
        </w:rPr>
      </w:pPr>
      <w:r w:rsidRPr="00273839">
        <w:rPr>
          <w:b/>
          <w:i/>
          <w:sz w:val="28"/>
          <w:u w:val="single"/>
        </w:rPr>
        <w:t>Le théorème fondamental</w:t>
      </w:r>
    </w:p>
    <w:p w14:paraId="5001A965" w14:textId="77777777" w:rsidR="007F287B" w:rsidRPr="007F287B" w:rsidRDefault="007F287B" w:rsidP="007F287B">
      <w:pPr>
        <w:rPr>
          <w:b/>
          <w:sz w:val="24"/>
        </w:rPr>
      </w:pPr>
      <w:r w:rsidRPr="007F287B">
        <w:rPr>
          <w:rFonts w:eastAsiaTheme="minorEastAsia"/>
        </w:rPr>
        <w:t>Quand j’étais lycéen, je me suis posé cette question : comment se fait-il qu’il y ait un lien entre le calcul d’aire et le calcul de dérivée ???</w:t>
      </w:r>
    </w:p>
    <w:p w14:paraId="6ACC650D" w14:textId="77777777" w:rsidR="00D839C5" w:rsidRDefault="007F287B" w:rsidP="0006180B">
      <w:pPr>
        <w:rPr>
          <w:b/>
          <w:sz w:val="24"/>
        </w:rPr>
      </w:pPr>
      <w:r>
        <w:t>La r</w:t>
      </w:r>
      <w:r w:rsidR="00D839C5">
        <w:t>éponse </w:t>
      </w:r>
      <w:r>
        <w:t>est dans le théorème fondamental :</w:t>
      </w:r>
    </w:p>
    <w:p w14:paraId="3E4D8A00" w14:textId="77777777" w:rsidR="00102032" w:rsidRDefault="00DA19DF" w:rsidP="0006180B">
      <w:pPr>
        <w:rPr>
          <w:rStyle w:val="Lienhypertexte"/>
        </w:rPr>
      </w:pPr>
      <w:hyperlink r:id="rId22" w:history="1">
        <w:r w:rsidR="00102032">
          <w:rPr>
            <w:rStyle w:val="Lienhypertexte"/>
          </w:rPr>
          <w:t>https://fr.wikipedia.org/wiki/Th%C3%A9or%C3%A8me_fondamental_de_l%27analyse</w:t>
        </w:r>
      </w:hyperlink>
    </w:p>
    <w:p w14:paraId="3FB3F997" w14:textId="77777777" w:rsidR="00D839C5" w:rsidRPr="00DB1E58" w:rsidRDefault="00D839C5" w:rsidP="0006180B">
      <w:pPr>
        <w:rPr>
          <w:rFonts w:eastAsiaTheme="minorEastAsia"/>
        </w:rPr>
      </w:pPr>
      <w:r w:rsidRPr="00DB1E58">
        <w:t xml:space="preserve">En effet, si on pose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nary>
          <m:naryPr>
            <m:limLoc m:val="subSup"/>
            <m:ctrlPr>
              <w:rPr>
                <w:rFonts w:ascii="Cambria Math" w:hAnsi="Cambria Math"/>
                <w:i/>
              </w:rPr>
            </m:ctrlPr>
          </m:naryPr>
          <m:sub>
            <m:r>
              <w:rPr>
                <w:rFonts w:ascii="Cambria Math" w:hAnsi="Cambria Math"/>
              </w:rPr>
              <m:t>a</m:t>
            </m:r>
          </m:sub>
          <m:sup>
            <m:r>
              <w:rPr>
                <w:rFonts w:ascii="Cambria Math" w:hAnsi="Cambria Math"/>
              </w:rPr>
              <m:t>x</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dt</m:t>
            </m:r>
          </m:e>
        </m:nary>
      </m:oMath>
      <w:r w:rsidRPr="00DB1E58">
        <w:rPr>
          <w:rFonts w:eastAsiaTheme="minorEastAsia"/>
        </w:rPr>
        <w:t xml:space="preserve"> alors, sous certaines conditions,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p>
    <w:p w14:paraId="767AFCA7" w14:textId="77777777" w:rsidR="00D839C5" w:rsidRPr="00DB1E58" w:rsidRDefault="00D839C5" w:rsidP="0006180B">
      <w:pPr>
        <w:rPr>
          <w:rFonts w:eastAsiaTheme="minorEastAsia"/>
        </w:rPr>
      </w:pPr>
      <w:r w:rsidRPr="00DB1E58">
        <w:rPr>
          <w:rFonts w:eastAsiaTheme="minorEastAsia"/>
        </w:rPr>
        <w:t xml:space="preserve">On dit que </w:t>
      </w:r>
      <m:oMath>
        <m:r>
          <w:rPr>
            <w:rFonts w:ascii="Cambria Math" w:eastAsiaTheme="minorEastAsia" w:hAnsi="Cambria Math"/>
          </w:rPr>
          <m:t>F</m:t>
        </m:r>
      </m:oMath>
      <w:r w:rsidRPr="00DB1E58">
        <w:rPr>
          <w:rFonts w:eastAsiaTheme="minorEastAsia"/>
        </w:rPr>
        <w:t xml:space="preserve"> est une primitive de </w:t>
      </w:r>
      <m:oMath>
        <m:r>
          <w:rPr>
            <w:rFonts w:ascii="Cambria Math" w:eastAsiaTheme="minorEastAsia" w:hAnsi="Cambria Math"/>
          </w:rPr>
          <m:t>f.</m:t>
        </m:r>
      </m:oMath>
    </w:p>
    <w:p w14:paraId="673B9AF6" w14:textId="77777777" w:rsidR="00892365" w:rsidRPr="00DB1E58" w:rsidRDefault="00892365" w:rsidP="0006180B">
      <w:r w:rsidRPr="00DB1E58">
        <w:rPr>
          <w:rFonts w:eastAsiaTheme="minorEastAsia"/>
        </w:rPr>
        <w:t>C’est ce résultat qui a permis des simplifications spectaculaires dans les calculs d’aire et de volume.</w:t>
      </w:r>
    </w:p>
    <w:p w14:paraId="74B4B8CA" w14:textId="77777777" w:rsidR="00EE0C6A" w:rsidRPr="0006180B" w:rsidRDefault="00EE0C6A" w:rsidP="0006180B">
      <w:pPr>
        <w:rPr>
          <w:szCs w:val="24"/>
        </w:rPr>
      </w:pPr>
      <w:r>
        <w:t>Les équations différentielles</w:t>
      </w:r>
      <w:r w:rsidR="00FE27E6">
        <w:t xml:space="preserve"> : on va voir dans le chapitre suivant comment modéliser un phénomène avec une équation différentielle, i.e. une équation où </w:t>
      </w:r>
      <w:r w:rsidR="00B65188">
        <w:t>figurent</w:t>
      </w:r>
      <w:r w:rsidR="00FE27E6">
        <w:t xml:space="preserve"> une fonction et sa dérivée.</w:t>
      </w:r>
    </w:p>
    <w:p w14:paraId="54220D06" w14:textId="77777777" w:rsidR="00886DC6" w:rsidRPr="00273839" w:rsidRDefault="0006180B" w:rsidP="00886DC6">
      <w:pPr>
        <w:pStyle w:val="Paragraphedeliste"/>
        <w:numPr>
          <w:ilvl w:val="0"/>
          <w:numId w:val="2"/>
        </w:numPr>
        <w:rPr>
          <w:b/>
          <w:i/>
          <w:sz w:val="28"/>
          <w:u w:val="single"/>
        </w:rPr>
      </w:pPr>
      <w:r w:rsidRPr="00273839">
        <w:rPr>
          <w:b/>
          <w:i/>
          <w:sz w:val="28"/>
          <w:u w:val="single"/>
        </w:rPr>
        <w:t>A quoi ça peut servir ?</w:t>
      </w:r>
    </w:p>
    <w:p w14:paraId="395A91E5" w14:textId="77777777" w:rsidR="00FB11F5" w:rsidRDefault="002240C9" w:rsidP="00FE27E6">
      <w:pPr>
        <w:rPr>
          <w:rFonts w:eastAsiaTheme="minorEastAsia"/>
        </w:rPr>
      </w:pPr>
      <w:r w:rsidRPr="002240C9">
        <w:t>On</w:t>
      </w:r>
      <w:r>
        <w:t xml:space="preserve"> pourrait laisser ces joujoux aux mathématiciens et retourner à nos occupations diverses mais (mal)heureusement, le calcul différentiel est essentiel à toutes les sciences et se retrouve par ricochet dans notre vie de tous les jours (attentions aux vitesses excessives !).</w:t>
      </w:r>
      <w:r w:rsidR="00724B71">
        <w:br/>
      </w:r>
      <w:r w:rsidR="00FE27E6">
        <w:t>On peut rechercher le maximum d’une fonction en cherchant les valeurs où sa dérivée s’annule.</w:t>
      </w:r>
      <w:r w:rsidR="00724B71">
        <w:br/>
      </w:r>
      <w:r w:rsidR="00FB11F5">
        <w:t xml:space="preserve">On veut savoir, parmi les rectangles de périmètre donné </w:t>
      </w:r>
      <m:oMath>
        <m:r>
          <w:rPr>
            <w:rFonts w:ascii="Cambria Math" w:hAnsi="Cambria Math"/>
          </w:rPr>
          <m:t>p</m:t>
        </m:r>
      </m:oMath>
      <w:r w:rsidR="00FB11F5">
        <w:rPr>
          <w:rFonts w:eastAsiaTheme="minorEastAsia"/>
        </w:rPr>
        <w:t>, celui qui délimite l’aire maximum (vous avez peut-être une petite idée).</w:t>
      </w:r>
    </w:p>
    <w:p w14:paraId="629BDB8D" w14:textId="77777777" w:rsidR="00222E35" w:rsidRDefault="00222E35" w:rsidP="00222E35">
      <w:pPr>
        <w:jc w:val="center"/>
      </w:pPr>
      <w:r>
        <w:rPr>
          <w:noProof/>
          <w:lang w:eastAsia="fr-FR"/>
        </w:rPr>
        <w:lastRenderedPageBreak/>
        <w:drawing>
          <wp:inline distT="0" distB="0" distL="0" distR="0" wp14:anchorId="7BDDBD35" wp14:editId="04B08302">
            <wp:extent cx="2237892" cy="14630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jpg"/>
                    <pic:cNvPicPr/>
                  </pic:nvPicPr>
                  <pic:blipFill>
                    <a:blip r:embed="rId23">
                      <a:extLst>
                        <a:ext uri="{28A0092B-C50C-407E-A947-70E740481C1C}">
                          <a14:useLocalDpi xmlns:a14="http://schemas.microsoft.com/office/drawing/2010/main" val="0"/>
                        </a:ext>
                      </a:extLst>
                    </a:blip>
                    <a:stretch>
                      <a:fillRect/>
                    </a:stretch>
                  </pic:blipFill>
                  <pic:spPr>
                    <a:xfrm>
                      <a:off x="0" y="0"/>
                      <a:ext cx="2237981" cy="1463098"/>
                    </a:xfrm>
                    <a:prstGeom prst="rect">
                      <a:avLst/>
                    </a:prstGeom>
                  </pic:spPr>
                </pic:pic>
              </a:graphicData>
            </a:graphic>
          </wp:inline>
        </w:drawing>
      </w:r>
    </w:p>
    <w:p w14:paraId="10429681" w14:textId="77777777" w:rsidR="00724B71" w:rsidRPr="00724B71" w:rsidRDefault="00724B71" w:rsidP="00724B71">
      <w:pPr>
        <w:rPr>
          <w:rFonts w:eastAsiaTheme="minorEastAsia"/>
        </w:rPr>
      </w:pPr>
      <w:r>
        <w:t xml:space="preserve">On a ici </w:t>
      </w:r>
      <m:oMath>
        <m:r>
          <w:rPr>
            <w:rFonts w:ascii="Cambria Math" w:hAnsi="Cambria Math"/>
          </w:rPr>
          <m:t>a+b=</m:t>
        </m:r>
        <m:f>
          <m:fPr>
            <m:ctrlPr>
              <w:rPr>
                <w:rFonts w:ascii="Cambria Math" w:hAnsi="Cambria Math"/>
                <w:i/>
              </w:rPr>
            </m:ctrlPr>
          </m:fPr>
          <m:num>
            <m:r>
              <w:rPr>
                <w:rFonts w:ascii="Cambria Math" w:hAnsi="Cambria Math"/>
              </w:rPr>
              <m:t>p</m:t>
            </m:r>
          </m:num>
          <m:den>
            <m:r>
              <w:rPr>
                <w:rFonts w:ascii="Cambria Math" w:hAnsi="Cambria Math"/>
              </w:rPr>
              <m:t>2</m:t>
            </m:r>
          </m:den>
        </m:f>
      </m:oMath>
      <w:r>
        <w:rPr>
          <w:rFonts w:eastAsiaTheme="minorEastAsia"/>
        </w:rPr>
        <w:t xml:space="preserve">, l’aire du rectangle vaut </w:t>
      </w:r>
      <m:oMath>
        <m:r>
          <w:rPr>
            <w:rFonts w:ascii="Cambria Math" w:eastAsiaTheme="minorEastAsia" w:hAnsi="Cambria Math"/>
          </w:rPr>
          <m:t>ab=a</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2</m:t>
                </m:r>
              </m:den>
            </m:f>
            <m:r>
              <w:rPr>
                <w:rFonts w:ascii="Cambria Math" w:eastAsiaTheme="minorEastAsia" w:hAnsi="Cambria Math"/>
              </w:rPr>
              <m:t>-a</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oMath>
      <w:r>
        <w:rPr>
          <w:rFonts w:eastAsiaTheme="minorEastAsia"/>
        </w:rPr>
        <w:t xml:space="preserve"> On représente la fonction </w:t>
      </w:r>
      <m:oMath>
        <m:r>
          <w:rPr>
            <w:rFonts w:ascii="Cambria Math" w:eastAsiaTheme="minorEastAsia" w:hAnsi="Cambria Math"/>
          </w:rPr>
          <m:t>f</m:t>
        </m:r>
      </m:oMath>
      <w:r>
        <w:rPr>
          <w:rFonts w:eastAsiaTheme="minorEastAsia"/>
        </w:rPr>
        <w:t xml:space="preserve"> ci-dessous et, en cherchant la valeur pour laquelle la dérivée s’annule, on trouve que le maximum cherché est obtenu pour </w:t>
      </w:r>
      <m:oMath>
        <m:r>
          <w:rPr>
            <w:rFonts w:ascii="Cambria Math" w:eastAsiaTheme="minorEastAsia" w:hAnsi="Cambria Math"/>
          </w:rPr>
          <m:t>a=p/4</m:t>
        </m:r>
      </m:oMath>
      <w:r>
        <w:rPr>
          <w:rFonts w:eastAsiaTheme="minorEastAsia"/>
        </w:rPr>
        <w:t xml:space="preserve"> ce qui donne bien sûr un carré.</w:t>
      </w:r>
    </w:p>
    <w:p w14:paraId="65948404" w14:textId="77777777" w:rsidR="00FB11F5" w:rsidRDefault="00FB11F5" w:rsidP="00222E35">
      <w:pPr>
        <w:jc w:val="center"/>
      </w:pPr>
      <w:r>
        <w:rPr>
          <w:noProof/>
          <w:lang w:eastAsia="fr-FR"/>
        </w:rPr>
        <w:drawing>
          <wp:inline distT="0" distB="0" distL="0" distR="0" wp14:anchorId="029E94CF" wp14:editId="2F2F22AF">
            <wp:extent cx="3366816" cy="2306320"/>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mum.jpg"/>
                    <pic:cNvPicPr/>
                  </pic:nvPicPr>
                  <pic:blipFill>
                    <a:blip r:embed="rId24">
                      <a:extLst>
                        <a:ext uri="{28A0092B-C50C-407E-A947-70E740481C1C}">
                          <a14:useLocalDpi xmlns:a14="http://schemas.microsoft.com/office/drawing/2010/main" val="0"/>
                        </a:ext>
                      </a:extLst>
                    </a:blip>
                    <a:stretch>
                      <a:fillRect/>
                    </a:stretch>
                  </pic:blipFill>
                  <pic:spPr>
                    <a:xfrm>
                      <a:off x="0" y="0"/>
                      <a:ext cx="3371179" cy="2309309"/>
                    </a:xfrm>
                    <a:prstGeom prst="rect">
                      <a:avLst/>
                    </a:prstGeom>
                  </pic:spPr>
                </pic:pic>
              </a:graphicData>
            </a:graphic>
          </wp:inline>
        </w:drawing>
      </w:r>
    </w:p>
    <w:p w14:paraId="0D996D4A" w14:textId="77777777" w:rsidR="00724B71" w:rsidRDefault="00724B71" w:rsidP="00724B71">
      <w:r>
        <w:t>On pouv</w:t>
      </w:r>
      <w:r w:rsidR="00D35CDC">
        <w:t>ait dans ce cas faire autrement et si le calcul différentiel se limitait à ce genre d’applications, on n’en parlerait plus depuis longtemps…</w:t>
      </w:r>
    </w:p>
    <w:p w14:paraId="52026F92" w14:textId="77777777" w:rsidR="00432F33" w:rsidRPr="00FE27E6" w:rsidRDefault="00432F33" w:rsidP="00724B71">
      <w:r>
        <w:t>PS : le meilleur résultat, pour un périmètre donné</w:t>
      </w:r>
      <w:r w:rsidR="007F287B">
        <w:t xml:space="preserve"> avec une courbe fermée</w:t>
      </w:r>
      <w:r w:rsidR="00D35CDC">
        <w:t>, est obtenu par le</w:t>
      </w:r>
      <w:r>
        <w:t xml:space="preserve"> cercle mais la démonstration est un peu plus technique.</w:t>
      </w:r>
    </w:p>
    <w:p w14:paraId="427F1D04" w14:textId="77777777" w:rsidR="004C089A" w:rsidRDefault="004C089A" w:rsidP="00886DC6">
      <w:r>
        <w:t>Quelques exemples où on utilise les infiniments petits :</w:t>
      </w:r>
    </w:p>
    <w:p w14:paraId="2188E84A" w14:textId="77777777" w:rsidR="00886DC6" w:rsidRPr="00C300AD" w:rsidRDefault="00D35CDC" w:rsidP="00886DC6">
      <w:pPr>
        <w:rPr>
          <w:b/>
          <w:sz w:val="28"/>
        </w:rPr>
      </w:pPr>
      <w:r>
        <w:rPr>
          <w:b/>
          <w:sz w:val="28"/>
        </w:rPr>
        <w:t xml:space="preserve">1 - </w:t>
      </w:r>
      <w:r w:rsidR="00886DC6" w:rsidRPr="00C300AD">
        <w:rPr>
          <w:b/>
          <w:sz w:val="28"/>
        </w:rPr>
        <w:t>Refroidissement d’une tasse de thé</w:t>
      </w:r>
      <w:r w:rsidR="004D62E7" w:rsidRPr="00C300AD">
        <w:rPr>
          <w:b/>
          <w:sz w:val="28"/>
        </w:rPr>
        <w:t> :</w:t>
      </w:r>
    </w:p>
    <w:p w14:paraId="1C441D73" w14:textId="77777777" w:rsidR="004C089A" w:rsidRDefault="004C089A" w:rsidP="00886DC6">
      <w:pPr>
        <w:rPr>
          <w:rFonts w:eastAsiaTheme="minorEastAsia"/>
        </w:rPr>
      </w:pPr>
      <w:r>
        <w:t xml:space="preserve">On part du principe que la vitesse de refroidissement de la température du thé est proportionnelle à la différence de la température du thé avec la température extérieure. On prend pour simplifier les notations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=100°</m:t>
        </m:r>
      </m:oMath>
      <w:r>
        <w:rPr>
          <w:rFonts w:eastAsiaTheme="minorEastAsia"/>
        </w:rPr>
        <w:t xml:space="preserve"> température de l’eau que l’on verse (attention toutefois : thé bouillu=thé foutu…) et 0° comme température extérieure.</w:t>
      </w:r>
    </w:p>
    <w:p w14:paraId="7C2A91F3" w14:textId="77777777" w:rsidR="004C089A" w:rsidRPr="004C089A" w:rsidRDefault="004C089A" w:rsidP="00886DC6">
      <w:r>
        <w:rPr>
          <w:rFonts w:eastAsiaTheme="minorEastAsia"/>
        </w:rPr>
        <w:t xml:space="preserve">Si </w:t>
      </w:r>
      <m:oMath>
        <m:r>
          <w:rPr>
            <w:rFonts w:ascii="Cambria Math" w:hAnsi="Cambria Math"/>
          </w:rPr>
          <m:t>C</m:t>
        </m:r>
      </m:oMath>
      <w:r>
        <w:t xml:space="preserve"> est le coefficient de proportionn</w:t>
      </w:r>
      <w:r w:rsidR="00053B9B">
        <w:t>alité</w:t>
      </w:r>
      <w:r>
        <w:t xml:space="preserve">, </w:t>
      </w:r>
      <m:oMath>
        <m:r>
          <w:rPr>
            <w:rFonts w:ascii="Cambria Math" w:hAnsi="Cambria Math"/>
          </w:rPr>
          <m:t>t</m:t>
        </m:r>
      </m:oMath>
      <w:r>
        <w:rPr>
          <w:rFonts w:eastAsiaTheme="minorEastAsia"/>
        </w:rPr>
        <w:t xml:space="preserve"> désigne le temps et </w:t>
      </w:r>
      <m:oMath>
        <m:r>
          <w:rPr>
            <w:rFonts w:ascii="Cambria Math" w:eastAsiaTheme="minorEastAsia" w:hAnsi="Cambria Math"/>
          </w:rPr>
          <m:t>dt</m:t>
        </m:r>
      </m:oMath>
      <w:r>
        <w:rPr>
          <w:rFonts w:eastAsiaTheme="minorEastAsia"/>
        </w:rPr>
        <w:t xml:space="preserve"> </w:t>
      </w:r>
      <w:r w:rsidR="00346D04">
        <w:rPr>
          <w:rFonts w:eastAsiaTheme="minorEastAsia"/>
        </w:rPr>
        <w:t>un accroissement infinitésimal du temps</w:t>
      </w:r>
    </w:p>
    <w:p w14:paraId="082E1AEE" w14:textId="04437978" w:rsidR="00053B9B" w:rsidRDefault="004C089A" w:rsidP="00346D04">
      <w:pPr>
        <w:rPr>
          <w:rFonts w:eastAsiaTheme="minorEastAsia"/>
        </w:rPr>
      </w:pPr>
      <w:r>
        <w:rPr>
          <w:rFonts w:eastAsiaTheme="minorEastAsia"/>
        </w:rPr>
        <w:t>On dresse alors le tableau suivant</w:t>
      </w:r>
      <w:r w:rsidR="00053B9B">
        <w:rPr>
          <w:rFonts w:eastAsiaTheme="minorEastAsia"/>
        </w:rPr>
        <w:t> :</w:t>
      </w:r>
    </w:p>
    <w:tbl>
      <w:tblPr>
        <w:tblStyle w:val="Grilledutableau"/>
        <w:tblW w:w="0" w:type="auto"/>
        <w:jc w:val="center"/>
        <w:tblLook w:val="04A0" w:firstRow="1" w:lastRow="0" w:firstColumn="1" w:lastColumn="0" w:noHBand="0" w:noVBand="1"/>
      </w:tblPr>
      <w:tblGrid>
        <w:gridCol w:w="2551"/>
        <w:gridCol w:w="2034"/>
        <w:gridCol w:w="2032"/>
      </w:tblGrid>
      <w:tr w:rsidR="00053B9B" w:rsidRPr="004C089A" w14:paraId="427AFA4B" w14:textId="77777777" w:rsidTr="0058304E">
        <w:trPr>
          <w:jc w:val="center"/>
        </w:trPr>
        <w:tc>
          <w:tcPr>
            <w:tcW w:w="2551" w:type="dxa"/>
          </w:tcPr>
          <w:p w14:paraId="6BCBD57B" w14:textId="77777777" w:rsidR="00053B9B" w:rsidRDefault="00053B9B" w:rsidP="0058304E"/>
        </w:tc>
        <w:tc>
          <w:tcPr>
            <w:tcW w:w="2034" w:type="dxa"/>
          </w:tcPr>
          <w:p w14:paraId="05C9B24B" w14:textId="77777777" w:rsidR="00053B9B" w:rsidRPr="004C089A" w:rsidRDefault="00053B9B" w:rsidP="0058304E">
            <w:pPr>
              <w:jc w:val="center"/>
              <w:rPr>
                <w:i/>
              </w:rPr>
            </w:pPr>
            <w:r>
              <w:t xml:space="preserve">Instant </w:t>
            </w:r>
            <w:r>
              <w:rPr>
                <w:i/>
              </w:rPr>
              <w:t>t</w:t>
            </w:r>
          </w:p>
        </w:tc>
        <w:tc>
          <w:tcPr>
            <w:tcW w:w="2032" w:type="dxa"/>
          </w:tcPr>
          <w:p w14:paraId="25C99C39" w14:textId="77777777" w:rsidR="00053B9B" w:rsidRPr="004C089A" w:rsidRDefault="00053B9B" w:rsidP="0058304E">
            <w:pPr>
              <w:jc w:val="center"/>
              <w:rPr>
                <w:i/>
              </w:rPr>
            </w:pPr>
            <w:r>
              <w:t xml:space="preserve">Instant </w:t>
            </w:r>
            <m:oMath>
              <m:r>
                <w:rPr>
                  <w:rFonts w:ascii="Cambria Math" w:hAnsi="Cambria Math"/>
                </w:rPr>
                <m:t>t+dt</m:t>
              </m:r>
            </m:oMath>
          </w:p>
        </w:tc>
      </w:tr>
      <w:tr w:rsidR="00053B9B" w:rsidRPr="00346D04" w14:paraId="315B5F66" w14:textId="77777777" w:rsidTr="0058304E">
        <w:trPr>
          <w:jc w:val="center"/>
        </w:trPr>
        <w:tc>
          <w:tcPr>
            <w:tcW w:w="2551" w:type="dxa"/>
          </w:tcPr>
          <w:p w14:paraId="02E0E2F2" w14:textId="77777777" w:rsidR="00053B9B" w:rsidRDefault="00053B9B" w:rsidP="0058304E">
            <w:r>
              <w:t>Température du thé</w:t>
            </w:r>
          </w:p>
        </w:tc>
        <w:tc>
          <w:tcPr>
            <w:tcW w:w="2034" w:type="dxa"/>
          </w:tcPr>
          <w:p w14:paraId="086F0D46" w14:textId="77777777" w:rsidR="00053B9B" w:rsidRDefault="00053B9B" w:rsidP="0058304E">
            <m:oMathPara>
              <m:oMath>
                <m:r>
                  <w:rPr>
                    <w:rFonts w:ascii="Cambria Math" w:hAnsi="Cambria Math"/>
                  </w:rPr>
                  <m:t>T(t)</m:t>
                </m:r>
              </m:oMath>
            </m:oMathPara>
          </w:p>
        </w:tc>
        <w:tc>
          <w:tcPr>
            <w:tcW w:w="2032" w:type="dxa"/>
          </w:tcPr>
          <w:p w14:paraId="275CE21E" w14:textId="77777777" w:rsidR="00053B9B" w:rsidRPr="00346D04" w:rsidRDefault="00053B9B" w:rsidP="0058304E">
            <m:oMathPara>
              <m:oMathParaPr>
                <m:jc m:val="center"/>
              </m:oMathParaPr>
              <m:oMath>
                <m:r>
                  <w:rPr>
                    <w:rFonts w:ascii="Cambria Math" w:hAnsi="Cambria Math"/>
                  </w:rPr>
                  <m:t>T(t)-C.T(t)dt</m:t>
                </m:r>
              </m:oMath>
            </m:oMathPara>
          </w:p>
        </w:tc>
      </w:tr>
    </w:tbl>
    <w:p w14:paraId="196793BA" w14:textId="77777777" w:rsidR="00053B9B" w:rsidRDefault="00053B9B" w:rsidP="00346D04">
      <w:pPr>
        <w:rPr>
          <w:rFonts w:eastAsiaTheme="minorEastAsia"/>
        </w:rPr>
      </w:pPr>
    </w:p>
    <w:p w14:paraId="359B033A" w14:textId="77777777" w:rsidR="00053B9B" w:rsidRDefault="00053B9B" w:rsidP="00346D04">
      <w:pPr>
        <w:rPr>
          <w:rFonts w:eastAsiaTheme="minorEastAsia"/>
        </w:rPr>
      </w:pPr>
      <w:r>
        <w:rPr>
          <w:rFonts w:eastAsiaTheme="minorEastAsia"/>
        </w:rPr>
        <w:t>On fait la différence des deux cases ce qui donne</w:t>
      </w:r>
    </w:p>
    <w:p w14:paraId="16D79031" w14:textId="633C5994" w:rsidR="00053B9B" w:rsidRPr="00BA2445" w:rsidRDefault="00053B9B" w:rsidP="00346D04">
      <w:pPr>
        <w:rPr>
          <w:rFonts w:eastAsiaTheme="minorEastAsia"/>
        </w:rPr>
      </w:pPr>
      <m:oMathPara>
        <m:oMath>
          <m:r>
            <w:rPr>
              <w:rFonts w:ascii="Cambria Math" w:eastAsiaTheme="minorEastAsia" w:hAnsi="Cambria Math"/>
            </w:rPr>
            <m:t>dT</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=-C.T</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dt</m:t>
          </m:r>
        </m:oMath>
      </m:oMathPara>
    </w:p>
    <w:p w14:paraId="1D4563F3" w14:textId="091044B4" w:rsidR="00BA2445" w:rsidRPr="00053B9B" w:rsidRDefault="00BA2445" w:rsidP="00346D04">
      <w:pPr>
        <w:rPr>
          <w:rFonts w:eastAsiaTheme="minorEastAsia"/>
        </w:rPr>
      </w:pPr>
      <w:r>
        <w:rPr>
          <w:rFonts w:eastAsiaTheme="minorEastAsia"/>
        </w:rPr>
        <w:t xml:space="preserve">En intégrant cette équation, on trouve </w:t>
      </w:r>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hAnsi="Cambria Math"/>
              </w:rPr>
              <m:t>e</m:t>
            </m:r>
          </m:e>
          <m:sup>
            <m:r>
              <w:rPr>
                <w:rFonts w:ascii="Cambria Math" w:hAnsi="Cambria Math"/>
              </w:rPr>
              <m:t>-Ct</m:t>
            </m:r>
          </m:sup>
        </m:sSup>
      </m:oMath>
      <w:r>
        <w:rPr>
          <w:rFonts w:eastAsiaTheme="minorEastAsia"/>
        </w:rPr>
        <w:t xml:space="preserve"> ce que l’on peut représenter ainsi :</w:t>
      </w:r>
    </w:p>
    <w:p w14:paraId="71774E9B" w14:textId="77777777" w:rsidR="004D62E7" w:rsidRDefault="00346D04" w:rsidP="00C300AD">
      <w:pPr>
        <w:jc w:val="center"/>
        <w:rPr>
          <w:rFonts w:eastAsiaTheme="minorEastAsia"/>
        </w:rPr>
      </w:pPr>
      <w:r>
        <w:br/>
      </w:r>
      <w:r w:rsidR="00C14859">
        <w:rPr>
          <w:rFonts w:eastAsiaTheme="minorEastAsia"/>
          <w:noProof/>
          <w:lang w:eastAsia="fr-FR"/>
        </w:rPr>
        <w:drawing>
          <wp:inline distT="0" distB="0" distL="0" distR="0" wp14:anchorId="04F96C35" wp14:editId="6FB8E021">
            <wp:extent cx="2512930" cy="2293491"/>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oidissement d'une tasse de thé.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2930" cy="2293491"/>
                    </a:xfrm>
                    <a:prstGeom prst="rect">
                      <a:avLst/>
                    </a:prstGeom>
                  </pic:spPr>
                </pic:pic>
              </a:graphicData>
            </a:graphic>
          </wp:inline>
        </w:drawing>
      </w:r>
    </w:p>
    <w:p w14:paraId="090F8A25" w14:textId="77777777" w:rsidR="00EC049F" w:rsidRPr="00053B9B" w:rsidRDefault="00EC049F" w:rsidP="00EC049F">
      <w:pPr>
        <w:rPr>
          <w:rFonts w:eastAsiaTheme="minorEastAsia"/>
        </w:rPr>
      </w:pPr>
      <w:r>
        <w:rPr>
          <w:rFonts w:eastAsiaTheme="minorEastAsia"/>
        </w:rPr>
        <w:t>On retrouve la même loi en ce qui concerne la désintégration radioactive, la pression atmosphérique en fonction de l’altitude.</w:t>
      </w:r>
    </w:p>
    <w:p w14:paraId="34336E68" w14:textId="77777777" w:rsidR="00886DC6" w:rsidRPr="004E66F6" w:rsidRDefault="00D35CDC" w:rsidP="00886DC6">
      <w:pPr>
        <w:rPr>
          <w:b/>
          <w:sz w:val="28"/>
          <w:szCs w:val="28"/>
        </w:rPr>
      </w:pPr>
      <w:r>
        <w:rPr>
          <w:b/>
          <w:sz w:val="28"/>
          <w:szCs w:val="28"/>
        </w:rPr>
        <w:t xml:space="preserve">2 - </w:t>
      </w:r>
      <w:r w:rsidR="00886DC6" w:rsidRPr="004E66F6">
        <w:rPr>
          <w:b/>
          <w:sz w:val="28"/>
          <w:szCs w:val="28"/>
        </w:rPr>
        <w:t>Concentration d’une intraveineuse en fonction du temps.</w:t>
      </w:r>
    </w:p>
    <w:p w14:paraId="341F51C4" w14:textId="77777777" w:rsidR="00C300AD" w:rsidRDefault="00C300AD" w:rsidP="00886DC6">
      <w:r>
        <w:t xml:space="preserve">Si vous avez bien suivi la précédente démonstration, </w:t>
      </w:r>
      <w:r w:rsidR="00D529F9">
        <w:t>voici comment on peut modéliser la concentration d’un produit injecté dans le sang en fonction du temps.</w:t>
      </w:r>
    </w:p>
    <w:p w14:paraId="309098B5" w14:textId="77777777" w:rsidR="000C6CC1" w:rsidRDefault="000C6CC1" w:rsidP="00886DC6">
      <w:r>
        <w:t>Commençons par un premier modèle </w:t>
      </w:r>
      <w:r w:rsidR="008A21CC">
        <w:t>(</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8A21CC">
        <w:rPr>
          <w:rFonts w:eastAsiaTheme="minorEastAsia"/>
        </w:rPr>
        <w:t xml:space="preserve"> désigne la concentration initiale).</w:t>
      </w:r>
    </w:p>
    <w:p w14:paraId="363F1CB0" w14:textId="77777777" w:rsidR="000C6CC1" w:rsidRDefault="000C6CC1" w:rsidP="000C6CC1">
      <w:pPr>
        <w:jc w:val="center"/>
      </w:pPr>
      <w:r>
        <w:rPr>
          <w:noProof/>
          <w:lang w:eastAsia="fr-FR"/>
        </w:rPr>
        <w:drawing>
          <wp:inline distT="0" distB="0" distL="0" distR="0" wp14:anchorId="227B38A4" wp14:editId="6C38BFB8">
            <wp:extent cx="2619026" cy="2010279"/>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injection (1).jpg"/>
                    <pic:cNvPicPr/>
                  </pic:nvPicPr>
                  <pic:blipFill>
                    <a:blip r:embed="rId26">
                      <a:extLst>
                        <a:ext uri="{28A0092B-C50C-407E-A947-70E740481C1C}">
                          <a14:useLocalDpi xmlns:a14="http://schemas.microsoft.com/office/drawing/2010/main" val="0"/>
                        </a:ext>
                      </a:extLst>
                    </a:blip>
                    <a:stretch>
                      <a:fillRect/>
                    </a:stretch>
                  </pic:blipFill>
                  <pic:spPr>
                    <a:xfrm>
                      <a:off x="0" y="0"/>
                      <a:ext cx="2620643" cy="2011520"/>
                    </a:xfrm>
                    <a:prstGeom prst="rect">
                      <a:avLst/>
                    </a:prstGeom>
                  </pic:spPr>
                </pic:pic>
              </a:graphicData>
            </a:graphic>
          </wp:inline>
        </w:drawing>
      </w:r>
    </w:p>
    <w:p w14:paraId="2E3C69F9" w14:textId="77777777" w:rsidR="000C6CC1" w:rsidRDefault="000C6CC1" w:rsidP="000C6CC1">
      <w:r>
        <w:t>On procède comme pour la tasse de thé :</w:t>
      </w:r>
    </w:p>
    <w:tbl>
      <w:tblPr>
        <w:tblStyle w:val="Grilledutableau"/>
        <w:tblW w:w="0" w:type="auto"/>
        <w:tblInd w:w="1809" w:type="dxa"/>
        <w:tblLook w:val="04A0" w:firstRow="1" w:lastRow="0" w:firstColumn="1" w:lastColumn="0" w:noHBand="0" w:noVBand="1"/>
      </w:tblPr>
      <w:tblGrid>
        <w:gridCol w:w="1495"/>
        <w:gridCol w:w="1275"/>
        <w:gridCol w:w="3261"/>
      </w:tblGrid>
      <w:tr w:rsidR="000C6CC1" w14:paraId="642593D3" w14:textId="77777777" w:rsidTr="00831EF3">
        <w:tc>
          <w:tcPr>
            <w:tcW w:w="1299" w:type="dxa"/>
          </w:tcPr>
          <w:p w14:paraId="5EBA4DB9" w14:textId="77777777" w:rsidR="000C6CC1" w:rsidRDefault="000C6CC1" w:rsidP="000C6CC1">
            <w:pPr>
              <w:jc w:val="center"/>
            </w:pPr>
          </w:p>
        </w:tc>
        <w:tc>
          <w:tcPr>
            <w:tcW w:w="1275" w:type="dxa"/>
          </w:tcPr>
          <w:p w14:paraId="2C448B00" w14:textId="77777777" w:rsidR="000C6CC1" w:rsidRDefault="000C6CC1" w:rsidP="000C6CC1">
            <w:pPr>
              <w:jc w:val="center"/>
            </w:pPr>
            <w:r>
              <w:t xml:space="preserve">Instant </w:t>
            </w:r>
            <m:oMath>
              <m:r>
                <w:rPr>
                  <w:rFonts w:ascii="Cambria Math" w:hAnsi="Cambria Math"/>
                </w:rPr>
                <m:t>t</m:t>
              </m:r>
            </m:oMath>
          </w:p>
        </w:tc>
        <w:tc>
          <w:tcPr>
            <w:tcW w:w="3261" w:type="dxa"/>
          </w:tcPr>
          <w:p w14:paraId="5C953BD7" w14:textId="77777777" w:rsidR="000C6CC1" w:rsidRDefault="000C6CC1" w:rsidP="000C6CC1">
            <w:pPr>
              <w:jc w:val="center"/>
            </w:pPr>
            <w:r>
              <w:t xml:space="preserve">Instant </w:t>
            </w:r>
            <m:oMath>
              <m:r>
                <w:rPr>
                  <w:rFonts w:ascii="Cambria Math" w:hAnsi="Cambria Math"/>
                </w:rPr>
                <m:t>t+dt</m:t>
              </m:r>
            </m:oMath>
          </w:p>
        </w:tc>
      </w:tr>
      <w:tr w:rsidR="000C6CC1" w14:paraId="4767F341" w14:textId="77777777" w:rsidTr="00831EF3">
        <w:tc>
          <w:tcPr>
            <w:tcW w:w="1299" w:type="dxa"/>
          </w:tcPr>
          <w:p w14:paraId="10A4F500" w14:textId="77777777" w:rsidR="000C6CC1" w:rsidRDefault="000C6CC1" w:rsidP="000C6CC1">
            <w:pPr>
              <w:jc w:val="center"/>
            </w:pPr>
            <w:r>
              <w:t>Produit</w:t>
            </w:r>
          </w:p>
        </w:tc>
        <w:tc>
          <w:tcPr>
            <w:tcW w:w="1275" w:type="dxa"/>
          </w:tcPr>
          <w:p w14:paraId="2357B155" w14:textId="77777777" w:rsidR="000C6CC1" w:rsidRDefault="000C6CC1" w:rsidP="000C6CC1">
            <w:pPr>
              <w:jc w:val="center"/>
            </w:pPr>
            <m:oMathPara>
              <m:oMath>
                <m:r>
                  <w:rPr>
                    <w:rFonts w:ascii="Cambria Math" w:hAnsi="Cambria Math"/>
                  </w:rPr>
                  <m:t>C(t).V</m:t>
                </m:r>
              </m:oMath>
            </m:oMathPara>
          </w:p>
        </w:tc>
        <w:tc>
          <w:tcPr>
            <w:tcW w:w="3261" w:type="dxa"/>
          </w:tcPr>
          <w:p w14:paraId="763AC36C" w14:textId="77777777" w:rsidR="000C6CC1" w:rsidRDefault="000C6CC1" w:rsidP="000C6CC1">
            <w:pPr>
              <w:jc w:val="center"/>
            </w:pPr>
            <m:oMathPara>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.V-D.C</m:t>
                </m:r>
                <m:d>
                  <m:dPr>
                    <m:ctrlPr>
                      <w:rPr>
                        <w:rFonts w:ascii="Cambria Math" w:hAnsi="Cambria Math"/>
                        <w:i/>
                      </w:rPr>
                    </m:ctrlPr>
                  </m:dPr>
                  <m:e>
                    <m:r>
                      <w:rPr>
                        <w:rFonts w:ascii="Cambria Math" w:hAnsi="Cambria Math"/>
                      </w:rPr>
                      <m:t>t</m:t>
                    </m:r>
                  </m:e>
                </m:d>
                <m:r>
                  <w:rPr>
                    <w:rFonts w:ascii="Cambria Math" w:hAnsi="Cambria Math"/>
                  </w:rPr>
                  <m:t>dt</m:t>
                </m:r>
              </m:oMath>
            </m:oMathPara>
          </w:p>
        </w:tc>
      </w:tr>
      <w:tr w:rsidR="000C6CC1" w14:paraId="2F53519E" w14:textId="77777777" w:rsidTr="00831EF3">
        <w:tc>
          <w:tcPr>
            <w:tcW w:w="1299" w:type="dxa"/>
          </w:tcPr>
          <w:p w14:paraId="79EBE98A" w14:textId="77777777" w:rsidR="000C6CC1" w:rsidRDefault="000C6CC1" w:rsidP="000C6CC1">
            <w:pPr>
              <w:jc w:val="center"/>
            </w:pPr>
            <w:r>
              <w:t>Concentration</w:t>
            </w:r>
          </w:p>
        </w:tc>
        <w:tc>
          <w:tcPr>
            <w:tcW w:w="1275" w:type="dxa"/>
          </w:tcPr>
          <w:p w14:paraId="6A6B46AC" w14:textId="77777777" w:rsidR="000C6CC1" w:rsidRDefault="000C6CC1" w:rsidP="000C6CC1">
            <w:pPr>
              <w:jc w:val="center"/>
            </w:pPr>
            <m:oMathPara>
              <m:oMath>
                <m:r>
                  <w:rPr>
                    <w:rFonts w:ascii="Cambria Math" w:hAnsi="Cambria Math"/>
                  </w:rPr>
                  <m:t>C(t)</m:t>
                </m:r>
              </m:oMath>
            </m:oMathPara>
          </w:p>
        </w:tc>
        <w:tc>
          <w:tcPr>
            <w:tcW w:w="3261" w:type="dxa"/>
          </w:tcPr>
          <w:p w14:paraId="308311EC" w14:textId="77777777" w:rsidR="000C6CC1" w:rsidRDefault="000C6CC1" w:rsidP="000C6CC1">
            <w:pPr>
              <w:jc w:val="center"/>
            </w:pPr>
            <m:oMathPara>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dt</m:t>
                </m:r>
              </m:oMath>
            </m:oMathPara>
          </w:p>
        </w:tc>
      </w:tr>
    </w:tbl>
    <w:p w14:paraId="2A6EEDCC" w14:textId="77777777" w:rsidR="000C6CC1" w:rsidRDefault="000C6CC1" w:rsidP="000C6CC1">
      <w:r>
        <w:lastRenderedPageBreak/>
        <w:t>Cela mérite une petite explication :</w:t>
      </w:r>
    </w:p>
    <w:p w14:paraId="7CA564F3" w14:textId="77777777" w:rsidR="000C6CC1" w:rsidRDefault="000C6CC1" w:rsidP="000C6CC1">
      <w:pPr>
        <w:rPr>
          <w:rFonts w:eastAsiaTheme="minorEastAsia"/>
        </w:rPr>
      </w:pPr>
      <w:r>
        <w:t xml:space="preserve">A l’instant </w:t>
      </w:r>
      <m:oMath>
        <m:r>
          <w:rPr>
            <w:rFonts w:ascii="Cambria Math" w:hAnsi="Cambria Math"/>
          </w:rPr>
          <m:t>t</m:t>
        </m:r>
      </m:oMath>
      <w:r>
        <w:rPr>
          <w:rFonts w:eastAsiaTheme="minorEastAsia"/>
        </w:rPr>
        <w:t xml:space="preserve"> le produit dans le volume sanguin est égal à la concentration multipliée par le volume.</w:t>
      </w:r>
    </w:p>
    <w:p w14:paraId="701EC72B" w14:textId="77777777" w:rsidR="000C6CC1" w:rsidRDefault="000C6CC1" w:rsidP="000C6CC1">
      <w:pPr>
        <w:rPr>
          <w:rFonts w:eastAsiaTheme="minorEastAsia"/>
        </w:rPr>
      </w:pPr>
      <w:r>
        <w:rPr>
          <w:rFonts w:eastAsiaTheme="minorEastAsia"/>
        </w:rPr>
        <w:t xml:space="preserve">A l’instant </w:t>
      </w:r>
      <m:oMath>
        <m:r>
          <w:rPr>
            <w:rFonts w:ascii="Cambria Math" w:hAnsi="Cambria Math"/>
          </w:rPr>
          <m:t>t+dt</m:t>
        </m:r>
      </m:oMath>
      <w:r>
        <w:rPr>
          <w:rFonts w:eastAsiaTheme="minorEastAsia"/>
        </w:rPr>
        <w:t xml:space="preserve"> le il s’est échappé du volume sanguin une quantité égale au volume </w:t>
      </w:r>
      <m:oMath>
        <m:r>
          <w:rPr>
            <w:rFonts w:ascii="Cambria Math" w:eastAsiaTheme="minorEastAsia" w:hAnsi="Cambria Math"/>
          </w:rPr>
          <m:t>D.dt</m:t>
        </m:r>
      </m:oMath>
      <w:r>
        <w:rPr>
          <w:rFonts w:eastAsiaTheme="minorEastAsia"/>
        </w:rPr>
        <w:t xml:space="preserve"> multiplié par la concentration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oMath>
    </w:p>
    <w:p w14:paraId="67CBB76D" w14:textId="77777777" w:rsidR="008A21CC" w:rsidRDefault="008A21CC" w:rsidP="000C6CC1">
      <w:pPr>
        <w:rPr>
          <w:rFonts w:eastAsiaTheme="minorEastAsia"/>
        </w:rPr>
      </w:pPr>
      <w:r>
        <w:rPr>
          <w:rFonts w:eastAsiaTheme="minorEastAsia"/>
        </w:rPr>
        <w:t xml:space="preserve">Comme pour la tasse de thé, on a ainsi </w:t>
      </w:r>
      <m:oMath>
        <m:r>
          <w:rPr>
            <w:rFonts w:ascii="Cambria Math" w:eastAsiaTheme="minorEastAsia" w:hAnsi="Cambria Math"/>
          </w:rPr>
          <m:t>dC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V</m:t>
            </m:r>
          </m:den>
        </m:f>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dt</m:t>
        </m:r>
      </m:oMath>
      <w:r>
        <w:rPr>
          <w:rFonts w:eastAsiaTheme="minorEastAsia"/>
        </w:rPr>
        <w:t xml:space="preserve"> d’où la merveilleuse équation différentielle</w:t>
      </w:r>
    </w:p>
    <w:p w14:paraId="0D48C5B7" w14:textId="77777777" w:rsidR="008A21CC" w:rsidRPr="008A21CC" w:rsidRDefault="00DA19DF" w:rsidP="000C6CC1">
      <w:pPr>
        <w:rPr>
          <w:rFonts w:eastAsiaTheme="minorEastAsia"/>
        </w:rPr>
      </w:pPr>
      <m:oMathPara>
        <m:oMath>
          <m:sSup>
            <m:sSupPr>
              <m:ctrlPr>
                <w:rPr>
                  <w:rFonts w:ascii="Cambria Math" w:hAnsi="Cambria Math"/>
                  <w:i/>
                </w:rPr>
              </m:ctrlPr>
            </m:sSupPr>
            <m:e>
              <m:r>
                <w:rPr>
                  <w:rFonts w:ascii="Cambria Math" w:hAnsi="Cambria Math"/>
                </w:rPr>
                <m:t>C</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.C(t)</m:t>
          </m:r>
        </m:oMath>
      </m:oMathPara>
    </w:p>
    <w:p w14:paraId="3BD5AD49" w14:textId="77777777" w:rsidR="008A21CC" w:rsidRDefault="008A21CC" w:rsidP="000C6CC1">
      <w:pPr>
        <w:rPr>
          <w:rFonts w:eastAsiaTheme="minorEastAsia"/>
        </w:rPr>
      </w:pPr>
      <w:r>
        <w:rPr>
          <w:rFonts w:eastAsiaTheme="minorEastAsia"/>
        </w:rPr>
        <w:t xml:space="preserve">Que l’on résout comme pour le thé :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m:rPr>
            <m:sty m:val="p"/>
          </m:rPr>
          <w:rPr>
            <w:rFonts w:ascii="Cambria Math" w:eastAsiaTheme="minorEastAsia" w:hAnsi="Cambria Math"/>
          </w:rPr>
          <m:t>exp⁡</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V</m:t>
            </m:r>
          </m:den>
        </m:f>
        <m:r>
          <w:rPr>
            <w:rFonts w:ascii="Cambria Math" w:eastAsiaTheme="minorEastAsia" w:hAnsi="Cambria Math"/>
          </w:rPr>
          <m:t>.t)</m:t>
        </m:r>
      </m:oMath>
      <w:r w:rsidR="00487495">
        <w:rPr>
          <w:rFonts w:eastAsiaTheme="minorEastAsia"/>
        </w:rPr>
        <w:t>.</w:t>
      </w:r>
    </w:p>
    <w:p w14:paraId="0F659F04" w14:textId="77777777" w:rsidR="00487495" w:rsidRDefault="00487495" w:rsidP="000C6CC1">
      <w:pPr>
        <w:rPr>
          <w:rFonts w:eastAsiaTheme="minorEastAsia"/>
        </w:rPr>
      </w:pPr>
      <w:r>
        <w:rPr>
          <w:rFonts w:eastAsiaTheme="minorEastAsia"/>
        </w:rPr>
        <w:t xml:space="preserve">Le </w:t>
      </w:r>
      <w:r w:rsidR="00CA5A46">
        <w:rPr>
          <w:rFonts w:eastAsiaTheme="minorEastAsia"/>
        </w:rPr>
        <w:t xml:space="preserve">modèle n’est pas </w:t>
      </w:r>
      <w:r>
        <w:rPr>
          <w:rFonts w:eastAsiaTheme="minorEastAsia"/>
        </w:rPr>
        <w:t xml:space="preserve"> bon</w:t>
      </w:r>
      <w:r w:rsidR="00CA5A46">
        <w:rPr>
          <w:rFonts w:eastAsiaTheme="minorEastAsia"/>
        </w:rPr>
        <w:t xml:space="preserve"> pour une intramusculaire</w:t>
      </w:r>
      <w:r>
        <w:rPr>
          <w:rFonts w:eastAsiaTheme="minorEastAsia"/>
        </w:rPr>
        <w:t>. On recommence alor</w:t>
      </w:r>
      <w:r w:rsidR="00CA5A46">
        <w:rPr>
          <w:rFonts w:eastAsiaTheme="minorEastAsia"/>
        </w:rPr>
        <w:t>s, après mûre réflexion, voici un</w:t>
      </w:r>
      <w:r>
        <w:rPr>
          <w:rFonts w:eastAsiaTheme="minorEastAsia"/>
        </w:rPr>
        <w:t xml:space="preserve"> nouveau modèle :</w:t>
      </w:r>
    </w:p>
    <w:p w14:paraId="48921998" w14:textId="77777777" w:rsidR="00487495" w:rsidRDefault="00487495" w:rsidP="00487495">
      <w:pPr>
        <w:jc w:val="center"/>
      </w:pPr>
      <w:r>
        <w:rPr>
          <w:noProof/>
          <w:lang w:eastAsia="fr-FR"/>
        </w:rPr>
        <w:drawing>
          <wp:inline distT="0" distB="0" distL="0" distR="0" wp14:anchorId="581FF55F" wp14:editId="5D151D58">
            <wp:extent cx="3939540" cy="2220328"/>
            <wp:effectExtent l="0" t="0" r="381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injection (2).jpg"/>
                    <pic:cNvPicPr/>
                  </pic:nvPicPr>
                  <pic:blipFill>
                    <a:blip r:embed="rId27">
                      <a:extLst>
                        <a:ext uri="{28A0092B-C50C-407E-A947-70E740481C1C}">
                          <a14:useLocalDpi xmlns:a14="http://schemas.microsoft.com/office/drawing/2010/main" val="0"/>
                        </a:ext>
                      </a:extLst>
                    </a:blip>
                    <a:stretch>
                      <a:fillRect/>
                    </a:stretch>
                  </pic:blipFill>
                  <pic:spPr>
                    <a:xfrm>
                      <a:off x="0" y="0"/>
                      <a:ext cx="3943982" cy="2222832"/>
                    </a:xfrm>
                    <a:prstGeom prst="rect">
                      <a:avLst/>
                    </a:prstGeom>
                  </pic:spPr>
                </pic:pic>
              </a:graphicData>
            </a:graphic>
          </wp:inline>
        </w:drawing>
      </w:r>
    </w:p>
    <w:p w14:paraId="27ECBE74" w14:textId="77777777" w:rsidR="000E5176" w:rsidRPr="000E5176" w:rsidRDefault="00487495" w:rsidP="00487495">
      <w:pPr>
        <w:rPr>
          <w:rFonts w:eastAsiaTheme="minorEastAsia"/>
        </w:rPr>
      </w:pPr>
      <w:r>
        <w:t>En effet, lorsqu’on</w:t>
      </w:r>
      <w:r w:rsidR="00CA5A46">
        <w:t xml:space="preserve"> injecte un produit en intramusculaire</w:t>
      </w:r>
      <w:r>
        <w:t>, il ne se répand pas instantanément dans tout le volume sanguin, il faut distinguer le modèle local (étude précédente) et ce qui nous intéresse dans la réalité, ce qui se passe à l’échelle de l’organisme. L’équation précédente est quand même valable pour le volum</w:t>
      </w:r>
      <w:r w:rsidR="000E5176">
        <w:t xml:space="preserve">e local, on a (en remplaçant certaines </w:t>
      </w:r>
      <w:r>
        <w:t xml:space="preserve"> majuscules par des minuscules) : </w:t>
      </w:r>
    </w:p>
    <w:p w14:paraId="405320A3" w14:textId="77777777" w:rsidR="00487495" w:rsidRDefault="000E5176" w:rsidP="000E5176">
      <w:pPr>
        <w:jc w:val="center"/>
        <w:rPr>
          <w:rFonts w:eastAsiaTheme="minorEastAsia"/>
        </w:rPr>
      </w:pP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m:rPr>
            <m:sty m:val="p"/>
          </m:rPr>
          <w:rPr>
            <w:rFonts w:ascii="Cambria Math" w:eastAsiaTheme="minorEastAsia" w:hAnsi="Cambria Math"/>
          </w:rPr>
          <m:t>exp⁡</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v</m:t>
            </m:r>
          </m:den>
        </m:f>
        <m:r>
          <w:rPr>
            <w:rFonts w:ascii="Cambria Math" w:eastAsiaTheme="minorEastAsia" w:hAnsi="Cambria Math"/>
          </w:rPr>
          <m:t>.t)</m:t>
        </m:r>
      </m:oMath>
      <w:r>
        <w:rPr>
          <w:rFonts w:eastAsiaTheme="minorEastAsia"/>
        </w:rPr>
        <w:t>.</w:t>
      </w:r>
    </w:p>
    <w:p w14:paraId="5017E568" w14:textId="77777777" w:rsidR="00DB23B5" w:rsidRDefault="00DB23B5" w:rsidP="00DB23B5">
      <w:pPr>
        <w:rPr>
          <w:rFonts w:eastAsiaTheme="minorEastAsia"/>
        </w:rPr>
      </w:pPr>
      <w:r>
        <w:rPr>
          <w:rFonts w:eastAsiaTheme="minorEastAsia"/>
        </w:rPr>
        <w:t>On refait alors un tableau :</w:t>
      </w:r>
    </w:p>
    <w:tbl>
      <w:tblPr>
        <w:tblStyle w:val="Grilledutableau"/>
        <w:tblW w:w="0" w:type="auto"/>
        <w:tblLook w:val="04A0" w:firstRow="1" w:lastRow="0" w:firstColumn="1" w:lastColumn="0" w:noHBand="0" w:noVBand="1"/>
      </w:tblPr>
      <w:tblGrid>
        <w:gridCol w:w="1951"/>
        <w:gridCol w:w="2977"/>
        <w:gridCol w:w="4284"/>
      </w:tblGrid>
      <w:tr w:rsidR="00DB23B5" w14:paraId="48BC1102" w14:textId="77777777" w:rsidTr="00DB23B5">
        <w:tc>
          <w:tcPr>
            <w:tcW w:w="1951" w:type="dxa"/>
          </w:tcPr>
          <w:p w14:paraId="3FC8989A" w14:textId="77777777" w:rsidR="00DB23B5" w:rsidRDefault="00DB23B5" w:rsidP="00DB23B5">
            <w:pPr>
              <w:jc w:val="center"/>
            </w:pPr>
          </w:p>
        </w:tc>
        <w:tc>
          <w:tcPr>
            <w:tcW w:w="2977" w:type="dxa"/>
          </w:tcPr>
          <w:p w14:paraId="0D933346" w14:textId="77777777" w:rsidR="00DB23B5" w:rsidRDefault="00DB23B5" w:rsidP="00DB23B5">
            <w:pPr>
              <w:jc w:val="center"/>
            </w:pPr>
            <w:r>
              <w:t xml:space="preserve">Instant </w:t>
            </w:r>
            <m:oMath>
              <m:r>
                <w:rPr>
                  <w:rFonts w:ascii="Cambria Math" w:hAnsi="Cambria Math"/>
                </w:rPr>
                <m:t>t</m:t>
              </m:r>
            </m:oMath>
          </w:p>
        </w:tc>
        <w:tc>
          <w:tcPr>
            <w:tcW w:w="4284" w:type="dxa"/>
          </w:tcPr>
          <w:p w14:paraId="6322CA69" w14:textId="77777777" w:rsidR="00DB23B5" w:rsidRDefault="00DB23B5" w:rsidP="00DB23B5">
            <w:pPr>
              <w:jc w:val="center"/>
            </w:pPr>
            <w:r>
              <w:t xml:space="preserve">Instant </w:t>
            </w:r>
            <m:oMath>
              <m:r>
                <w:rPr>
                  <w:rFonts w:ascii="Cambria Math" w:hAnsi="Cambria Math"/>
                </w:rPr>
                <m:t>t+dt</m:t>
              </m:r>
            </m:oMath>
          </w:p>
        </w:tc>
      </w:tr>
      <w:tr w:rsidR="00DB23B5" w14:paraId="65EC048C" w14:textId="77777777" w:rsidTr="00DB23B5">
        <w:tc>
          <w:tcPr>
            <w:tcW w:w="1951" w:type="dxa"/>
          </w:tcPr>
          <w:p w14:paraId="71E56505" w14:textId="77777777" w:rsidR="00DB23B5" w:rsidRDefault="00DB23B5" w:rsidP="00DB23B5">
            <w:pPr>
              <w:jc w:val="center"/>
            </w:pPr>
            <w:r>
              <w:t>Produit global</w:t>
            </w:r>
          </w:p>
        </w:tc>
        <w:tc>
          <w:tcPr>
            <w:tcW w:w="2977" w:type="dxa"/>
          </w:tcPr>
          <w:p w14:paraId="08617538" w14:textId="77777777" w:rsidR="00DB23B5" w:rsidRDefault="00DB23B5" w:rsidP="00DB23B5">
            <w:pPr>
              <w:jc w:val="center"/>
            </w:pPr>
            <m:oMathPara>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.V</m:t>
                </m:r>
              </m:oMath>
            </m:oMathPara>
          </w:p>
        </w:tc>
        <w:tc>
          <w:tcPr>
            <w:tcW w:w="4284" w:type="dxa"/>
          </w:tcPr>
          <w:p w14:paraId="1DDA9753" w14:textId="77777777" w:rsidR="00DB23B5" w:rsidRDefault="00DB23B5" w:rsidP="00DB23B5">
            <w:pPr>
              <w:jc w:val="center"/>
            </w:pPr>
            <m:oMathPara>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.V-D.C</m:t>
                </m:r>
                <m:d>
                  <m:dPr>
                    <m:ctrlPr>
                      <w:rPr>
                        <w:rFonts w:ascii="Cambria Math" w:hAnsi="Cambria Math"/>
                        <w:i/>
                      </w:rPr>
                    </m:ctrlPr>
                  </m:dPr>
                  <m:e>
                    <m:r>
                      <w:rPr>
                        <w:rFonts w:ascii="Cambria Math" w:hAnsi="Cambria Math"/>
                      </w:rPr>
                      <m:t>t</m:t>
                    </m:r>
                  </m:e>
                </m:d>
                <m:r>
                  <w:rPr>
                    <w:rFonts w:ascii="Cambria Math" w:hAnsi="Cambria Math"/>
                  </w:rPr>
                  <m:t>dt+D.c</m:t>
                </m:r>
                <m:d>
                  <m:dPr>
                    <m:ctrlPr>
                      <w:rPr>
                        <w:rFonts w:ascii="Cambria Math" w:hAnsi="Cambria Math"/>
                        <w:i/>
                      </w:rPr>
                    </m:ctrlPr>
                  </m:dPr>
                  <m:e>
                    <m:r>
                      <w:rPr>
                        <w:rFonts w:ascii="Cambria Math" w:hAnsi="Cambria Math"/>
                      </w:rPr>
                      <m:t>t</m:t>
                    </m:r>
                  </m:e>
                </m:d>
                <m:r>
                  <w:rPr>
                    <w:rFonts w:ascii="Cambria Math" w:hAnsi="Cambria Math"/>
                  </w:rPr>
                  <m:t>dt</m:t>
                </m:r>
              </m:oMath>
            </m:oMathPara>
          </w:p>
        </w:tc>
      </w:tr>
      <w:tr w:rsidR="00DB23B5" w14:paraId="11B46D4B" w14:textId="77777777" w:rsidTr="00DB23B5">
        <w:tc>
          <w:tcPr>
            <w:tcW w:w="1951" w:type="dxa"/>
          </w:tcPr>
          <w:p w14:paraId="2A774DF2" w14:textId="77777777" w:rsidR="00DB23B5" w:rsidRDefault="00DB23B5" w:rsidP="00DB23B5">
            <w:pPr>
              <w:jc w:val="center"/>
            </w:pPr>
            <w:r>
              <w:t>Concentration</w:t>
            </w:r>
          </w:p>
        </w:tc>
        <w:tc>
          <w:tcPr>
            <w:tcW w:w="2977" w:type="dxa"/>
          </w:tcPr>
          <w:p w14:paraId="3DF603A6" w14:textId="77777777" w:rsidR="00DB23B5" w:rsidRDefault="00DB23B5" w:rsidP="00DB23B5">
            <w:pPr>
              <w:jc w:val="center"/>
            </w:pPr>
            <m:oMathPara>
              <m:oMath>
                <m:r>
                  <w:rPr>
                    <w:rFonts w:ascii="Cambria Math" w:hAnsi="Cambria Math"/>
                  </w:rPr>
                  <m:t>C(t)</m:t>
                </m:r>
              </m:oMath>
            </m:oMathPara>
          </w:p>
        </w:tc>
        <w:tc>
          <w:tcPr>
            <w:tcW w:w="4284" w:type="dxa"/>
          </w:tcPr>
          <w:p w14:paraId="21F6BCC4" w14:textId="77777777" w:rsidR="00DB23B5" w:rsidRDefault="00DB23B5" w:rsidP="00DB23B5">
            <w:pPr>
              <w:jc w:val="center"/>
            </w:pPr>
            <m:oMathPara>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dt</m:t>
                </m:r>
              </m:oMath>
            </m:oMathPara>
          </w:p>
        </w:tc>
      </w:tr>
    </w:tbl>
    <w:p w14:paraId="51D191AA" w14:textId="05EC98A6" w:rsidR="00DB23B5" w:rsidRDefault="00DB23B5" w:rsidP="00DB23B5">
      <w:pPr>
        <w:rPr>
          <w:rFonts w:eastAsiaTheme="minorEastAsia"/>
        </w:rPr>
      </w:pPr>
      <w:r>
        <w:t xml:space="preserve">Là encore, cela mérite un éclaircissement : à chaque instant, il sort (à droite du schéma) du volume sanguin total </w:t>
      </w:r>
      <m:oMath>
        <m:r>
          <w:rPr>
            <w:rFonts w:ascii="Cambria Math" w:hAnsi="Cambria Math"/>
          </w:rPr>
          <m:t>D.C</m:t>
        </m:r>
        <m:d>
          <m:dPr>
            <m:ctrlPr>
              <w:rPr>
                <w:rFonts w:ascii="Cambria Math" w:hAnsi="Cambria Math"/>
                <w:i/>
              </w:rPr>
            </m:ctrlPr>
          </m:dPr>
          <m:e>
            <m:r>
              <w:rPr>
                <w:rFonts w:ascii="Cambria Math" w:hAnsi="Cambria Math"/>
              </w:rPr>
              <m:t>t</m:t>
            </m:r>
          </m:e>
        </m:d>
        <m:r>
          <w:rPr>
            <w:rFonts w:ascii="Cambria Math" w:hAnsi="Cambria Math"/>
          </w:rPr>
          <m:t>dt</m:t>
        </m:r>
      </m:oMath>
      <w:r>
        <w:rPr>
          <w:rFonts w:eastAsiaTheme="minorEastAsia"/>
        </w:rPr>
        <w:t xml:space="preserve"> comme dans le premier modèle mais il rentre par la gauche</w:t>
      </w:r>
      <w:r w:rsidR="0058304E">
        <w:rPr>
          <w:rFonts w:eastAsiaTheme="minorEastAsia"/>
        </w:rPr>
        <w:t xml:space="preserve"> </w:t>
      </w:r>
      <m:oMath>
        <m:r>
          <w:rPr>
            <w:rFonts w:ascii="Cambria Math" w:eastAsiaTheme="minorEastAsia" w:hAnsi="Cambria Math"/>
          </w:rPr>
          <m:t>D.c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dt</m:t>
        </m:r>
      </m:oMath>
      <w:r w:rsidR="0058304E">
        <w:rPr>
          <w:rFonts w:eastAsiaTheme="minorEastAsia"/>
        </w:rPr>
        <w:t xml:space="preserve"> venant du volume local. Bilan des courses : </w:t>
      </w:r>
      <m:oMath>
        <m:r>
          <w:rPr>
            <w:rFonts w:ascii="Cambria Math" w:eastAsiaTheme="minorEastAsia" w:hAnsi="Cambria Math"/>
          </w:rPr>
          <m:t>dC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V</m:t>
            </m:r>
          </m:den>
        </m:f>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dt+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V</m:t>
            </m:r>
          </m:den>
        </m:f>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dt.</m:t>
        </m:r>
      </m:oMath>
      <w:r w:rsidR="0058304E">
        <w:rPr>
          <w:rFonts w:eastAsiaTheme="minorEastAsia"/>
        </w:rPr>
        <w:t xml:space="preserve"> On obtient une équation différentielle encore plus merveilleuse (on connaît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.t</m:t>
                </m:r>
              </m:e>
            </m:d>
          </m:e>
        </m:func>
      </m:oMath>
      <w:r w:rsidR="0058304E">
        <w:rPr>
          <w:rFonts w:eastAsiaTheme="minorEastAsia"/>
        </w:rPr>
        <w:t xml:space="preserve"> ) :</w:t>
      </w:r>
    </w:p>
    <w:p w14:paraId="6FCE022B" w14:textId="77777777" w:rsidR="0058304E" w:rsidRDefault="00DA19DF" w:rsidP="0058304E">
      <w:pPr>
        <w:jc w:val="center"/>
        <w:rPr>
          <w:rFonts w:eastAsiaTheme="minorEastAsia"/>
        </w:rPr>
      </w:pPr>
      <m:oMath>
        <m:sSup>
          <m:sSupPr>
            <m:ctrlPr>
              <w:rPr>
                <w:rFonts w:ascii="Cambria Math" w:hAnsi="Cambria Math"/>
                <w:i/>
              </w:rPr>
            </m:ctrlPr>
          </m:sSupPr>
          <m:e>
            <m:r>
              <w:rPr>
                <w:rFonts w:ascii="Cambria Math" w:hAnsi="Cambria Math"/>
              </w:rPr>
              <m:t>C</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.t)</m:t>
        </m:r>
      </m:oMath>
      <w:r w:rsidR="0058304E">
        <w:rPr>
          <w:rFonts w:eastAsiaTheme="minorEastAsia"/>
        </w:rPr>
        <w:t>.</w:t>
      </w:r>
    </w:p>
    <w:p w14:paraId="4D361C8A" w14:textId="77777777" w:rsidR="0058304E" w:rsidRDefault="0058304E" w:rsidP="0058304E">
      <w:pPr>
        <w:rPr>
          <w:rFonts w:eastAsiaTheme="minorEastAsia"/>
        </w:rPr>
      </w:pPr>
      <w:r>
        <w:rPr>
          <w:rFonts w:eastAsiaTheme="minorEastAsia"/>
        </w:rPr>
        <w:t xml:space="preserve">Avec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=0</m:t>
        </m:r>
      </m:oMath>
      <w:r>
        <w:rPr>
          <w:rFonts w:eastAsiaTheme="minorEastAsia"/>
        </w:rPr>
        <w:t xml:space="preserve">, la résolution (que je vous épargne…) donne </w:t>
      </w:r>
    </w:p>
    <w:p w14:paraId="2FF1A9C8" w14:textId="77777777" w:rsidR="0058304E" w:rsidRPr="0058304E" w:rsidRDefault="0058304E" w:rsidP="0058304E">
      <w:pPr>
        <w:jc w:val="center"/>
        <w:rPr>
          <w:rFonts w:eastAsiaTheme="minorEastAsia"/>
        </w:rPr>
      </w:pPr>
      <m:oMathPara>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.v</m:t>
              </m:r>
            </m:num>
            <m:den>
              <m:r>
                <w:rPr>
                  <w:rFonts w:ascii="Cambria Math" w:hAnsi="Cambria Math"/>
                </w:rPr>
                <m:t>V-v</m:t>
              </m:r>
            </m:den>
          </m:f>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.t</m:t>
                  </m:r>
                </m:e>
              </m:d>
            </m:e>
          </m:func>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.t</m:t>
                  </m:r>
                </m:e>
              </m:d>
            </m:e>
          </m:func>
          <m:r>
            <w:rPr>
              <w:rFonts w:ascii="Cambria Math" w:hAnsi="Cambria Math"/>
            </w:rPr>
            <m:t>)</m:t>
          </m:r>
        </m:oMath>
      </m:oMathPara>
    </w:p>
    <w:p w14:paraId="650B3AB7" w14:textId="77777777" w:rsidR="0058304E" w:rsidRDefault="0058304E" w:rsidP="0058304E">
      <w:r>
        <w:rPr>
          <w:rFonts w:eastAsiaTheme="minorEastAsia"/>
        </w:rPr>
        <w:t>Et, en traçant la courbe, on trouve le dessin suivant</w:t>
      </w:r>
    </w:p>
    <w:p w14:paraId="7AD86F3F" w14:textId="77777777" w:rsidR="001C5EFC" w:rsidRDefault="004D62E7" w:rsidP="001C5EFC">
      <w:pPr>
        <w:jc w:val="center"/>
      </w:pPr>
      <w:r>
        <w:rPr>
          <w:noProof/>
          <w:lang w:eastAsia="fr-FR"/>
        </w:rPr>
        <w:drawing>
          <wp:inline distT="0" distB="0" distL="0" distR="0" wp14:anchorId="0E139F06" wp14:editId="21C86BCB">
            <wp:extent cx="3611880" cy="2278380"/>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ection intraveineuse-2.jpg"/>
                    <pic:cNvPicPr/>
                  </pic:nvPicPr>
                  <pic:blipFill>
                    <a:blip r:embed="rId28">
                      <a:extLst>
                        <a:ext uri="{28A0092B-C50C-407E-A947-70E740481C1C}">
                          <a14:useLocalDpi xmlns:a14="http://schemas.microsoft.com/office/drawing/2010/main" val="0"/>
                        </a:ext>
                      </a:extLst>
                    </a:blip>
                    <a:stretch>
                      <a:fillRect/>
                    </a:stretch>
                  </pic:blipFill>
                  <pic:spPr>
                    <a:xfrm>
                      <a:off x="0" y="0"/>
                      <a:ext cx="3611880" cy="2278380"/>
                    </a:xfrm>
                    <a:prstGeom prst="rect">
                      <a:avLst/>
                    </a:prstGeom>
                  </pic:spPr>
                </pic:pic>
              </a:graphicData>
            </a:graphic>
          </wp:inline>
        </w:drawing>
      </w:r>
    </w:p>
    <w:p w14:paraId="5C30ABE3" w14:textId="77777777" w:rsidR="001C5EFC" w:rsidRDefault="001C5EFC" w:rsidP="001C5EFC">
      <w:r>
        <w:t>Ceci correspond à ce qu’on peut trouver sur Internet, notamment à l’adresse</w:t>
      </w:r>
    </w:p>
    <w:p w14:paraId="523F01CC" w14:textId="77777777" w:rsidR="001C5EFC" w:rsidRDefault="00DA19DF" w:rsidP="001C5EFC">
      <w:hyperlink r:id="rId29" w:history="1">
        <w:r w:rsidR="001C5EFC">
          <w:rPr>
            <w:rStyle w:val="Lienhypertexte"/>
          </w:rPr>
          <w:t>https://pharmacomedicale.org/pharmacologie/pharmacocinetique/38-parametres-pharmacocinetiques</w:t>
        </w:r>
      </w:hyperlink>
    </w:p>
    <w:p w14:paraId="5634E33F" w14:textId="77777777" w:rsidR="001C5EFC" w:rsidRDefault="001C5EFC" w:rsidP="001C5EFC">
      <w:pPr>
        <w:jc w:val="center"/>
        <w:rPr>
          <w:b/>
          <w:sz w:val="32"/>
          <w:szCs w:val="32"/>
        </w:rPr>
      </w:pPr>
      <w:r w:rsidRPr="001C5EFC">
        <w:rPr>
          <w:b/>
          <w:sz w:val="32"/>
          <w:szCs w:val="32"/>
        </w:rPr>
        <w:t>OUF !</w:t>
      </w:r>
    </w:p>
    <w:p w14:paraId="45FED68E" w14:textId="77777777" w:rsidR="00CA5A46" w:rsidRDefault="00CA5A46" w:rsidP="00CA5A46">
      <w:r>
        <w:t xml:space="preserve">Vous pouvez aller, </w:t>
      </w:r>
      <w:r w:rsidR="00273839">
        <w:t>pour de plus amples informations</w:t>
      </w:r>
      <w:r>
        <w:t>, consulter le site</w:t>
      </w:r>
    </w:p>
    <w:p w14:paraId="5C79EA4A" w14:textId="77777777" w:rsidR="00CA5A46" w:rsidRDefault="00DA19DF" w:rsidP="00CA5A46">
      <w:hyperlink r:id="rId30" w:history="1">
        <w:r w:rsidR="00CA5A46">
          <w:rPr>
            <w:rStyle w:val="Lienhypertexte"/>
          </w:rPr>
          <w:t>https://pharmacomedicale.org/images/cnpm/desc/J_ALEXANDRE_Notions_PK_de_base.pdf</w:t>
        </w:r>
      </w:hyperlink>
    </w:p>
    <w:p w14:paraId="4C1DF784" w14:textId="77777777" w:rsidR="00CA5A46" w:rsidRDefault="00CA5A46" w:rsidP="00CA5A46">
      <w:proofErr w:type="gramStart"/>
      <w:r>
        <w:t>où</w:t>
      </w:r>
      <w:proofErr w:type="gramEnd"/>
      <w:r>
        <w:t xml:space="preserve"> vous trouverez notamment le schéma suivant</w:t>
      </w:r>
    </w:p>
    <w:p w14:paraId="34AD6C9A" w14:textId="77777777" w:rsidR="00CA5A46" w:rsidRPr="00CA5A46" w:rsidRDefault="00CA5A46" w:rsidP="00CA5A46">
      <w:r>
        <w:rPr>
          <w:noProof/>
          <w:lang w:eastAsia="fr-FR"/>
        </w:rPr>
        <w:drawing>
          <wp:inline distT="0" distB="0" distL="0" distR="0" wp14:anchorId="20DC1095" wp14:editId="3574E2B2">
            <wp:extent cx="5760720" cy="195770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érents type d'absorp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1957705"/>
                    </a:xfrm>
                    <a:prstGeom prst="rect">
                      <a:avLst/>
                    </a:prstGeom>
                  </pic:spPr>
                </pic:pic>
              </a:graphicData>
            </a:graphic>
          </wp:inline>
        </w:drawing>
      </w:r>
    </w:p>
    <w:p w14:paraId="25BAB682" w14:textId="77777777" w:rsidR="00A50E0C" w:rsidRDefault="00A50E0C" w:rsidP="00886DC6">
      <w:pPr>
        <w:rPr>
          <w:b/>
          <w:sz w:val="28"/>
        </w:rPr>
      </w:pPr>
    </w:p>
    <w:p w14:paraId="7C2C2E20" w14:textId="7C961BF0" w:rsidR="007F1EB9" w:rsidRDefault="00D35CDC" w:rsidP="00886DC6">
      <w:pPr>
        <w:rPr>
          <w:b/>
          <w:sz w:val="28"/>
        </w:rPr>
      </w:pPr>
      <w:r>
        <w:rPr>
          <w:b/>
          <w:sz w:val="28"/>
        </w:rPr>
        <w:lastRenderedPageBreak/>
        <w:t xml:space="preserve">3 - </w:t>
      </w:r>
      <w:r w:rsidR="007F1EB9" w:rsidRPr="00230E16">
        <w:rPr>
          <w:b/>
          <w:sz w:val="28"/>
        </w:rPr>
        <w:t>Le modèle de James Lovelock</w:t>
      </w:r>
      <w:r w:rsidR="003C4431">
        <w:rPr>
          <w:b/>
          <w:sz w:val="28"/>
        </w:rPr>
        <w:t>, l’hypothèse Gaia</w:t>
      </w:r>
      <w:r w:rsidR="00230E16">
        <w:rPr>
          <w:b/>
          <w:sz w:val="28"/>
        </w:rPr>
        <w:t xml:space="preserve"> ou </w:t>
      </w:r>
      <w:r w:rsidR="00D61F16">
        <w:rPr>
          <w:b/>
          <w:sz w:val="28"/>
        </w:rPr>
        <w:t>la planète des marguerites</w:t>
      </w:r>
    </w:p>
    <w:p w14:paraId="45F28E31" w14:textId="77777777" w:rsidR="00EB6A45" w:rsidRDefault="00EB6A45" w:rsidP="00EB6A45">
      <w:pPr>
        <w:jc w:val="center"/>
        <w:rPr>
          <w:rFonts w:cstheme="minorHAnsi"/>
          <w:color w:val="222222"/>
          <w:shd w:val="clear" w:color="auto" w:fill="FFFFFF"/>
        </w:rPr>
      </w:pPr>
      <w:r>
        <w:rPr>
          <w:rFonts w:cstheme="minorHAnsi"/>
          <w:noProof/>
          <w:color w:val="222222"/>
          <w:shd w:val="clear" w:color="auto" w:fill="FFFFFF"/>
          <w:lang w:eastAsia="fr-FR"/>
        </w:rPr>
        <w:drawing>
          <wp:inline distT="0" distB="0" distL="0" distR="0" wp14:anchorId="602993D7" wp14:editId="36197C64">
            <wp:extent cx="1280160" cy="9601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_Lovelock_in_20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0160" cy="960120"/>
                    </a:xfrm>
                    <a:prstGeom prst="rect">
                      <a:avLst/>
                    </a:prstGeom>
                  </pic:spPr>
                </pic:pic>
              </a:graphicData>
            </a:graphic>
          </wp:inline>
        </w:drawing>
      </w:r>
    </w:p>
    <w:p w14:paraId="0545BE5A" w14:textId="77777777" w:rsidR="00EB6A45" w:rsidRDefault="00DA19DF" w:rsidP="00EB6A45">
      <w:pPr>
        <w:rPr>
          <w:rFonts w:cstheme="minorHAnsi"/>
          <w:color w:val="222222"/>
          <w:shd w:val="clear" w:color="auto" w:fill="FFFFFF"/>
        </w:rPr>
      </w:pPr>
      <w:hyperlink r:id="rId33" w:history="1">
        <w:r w:rsidR="00EB6A45">
          <w:rPr>
            <w:rStyle w:val="Lienhypertexte"/>
          </w:rPr>
          <w:t>https://fr.wikipedia.org/wiki/James_Lovelock</w:t>
        </w:r>
      </w:hyperlink>
    </w:p>
    <w:p w14:paraId="5FA44049" w14:textId="77777777" w:rsidR="00EB6A45" w:rsidRDefault="00EB6A45" w:rsidP="00886DC6">
      <w:pPr>
        <w:rPr>
          <w:rFonts w:cstheme="minorHAnsi"/>
          <w:color w:val="222222"/>
          <w:shd w:val="clear" w:color="auto" w:fill="FFFFFF"/>
        </w:rPr>
      </w:pPr>
      <w:r w:rsidRPr="00EB6A45">
        <w:rPr>
          <w:rFonts w:cstheme="minorHAnsi"/>
          <w:color w:val="222222"/>
          <w:shd w:val="clear" w:color="auto" w:fill="FFFFFF"/>
        </w:rPr>
        <w:t xml:space="preserve">Lovelock </w:t>
      </w:r>
      <w:r w:rsidR="00D61F16">
        <w:rPr>
          <w:rFonts w:cstheme="minorHAnsi"/>
          <w:color w:val="222222"/>
          <w:shd w:val="clear" w:color="auto" w:fill="FFFFFF"/>
        </w:rPr>
        <w:t xml:space="preserve">en 1994 </w:t>
      </w:r>
      <w:r w:rsidRPr="00EB6A45">
        <w:rPr>
          <w:rFonts w:cstheme="minorHAnsi"/>
          <w:color w:val="222222"/>
          <w:shd w:val="clear" w:color="auto" w:fill="FFFFFF"/>
        </w:rPr>
        <w:t xml:space="preserve">a </w:t>
      </w:r>
      <w:r w:rsidR="00D61F16">
        <w:rPr>
          <w:rFonts w:cstheme="minorHAnsi"/>
          <w:color w:val="222222"/>
          <w:shd w:val="clear" w:color="auto" w:fill="FFFFFF"/>
        </w:rPr>
        <w:t>créé un</w:t>
      </w:r>
      <w:r w:rsidRPr="00EB6A45">
        <w:rPr>
          <w:rFonts w:cstheme="minorHAnsi"/>
          <w:color w:val="222222"/>
          <w:shd w:val="clear" w:color="auto" w:fill="FFFFFF"/>
        </w:rPr>
        <w:t xml:space="preserve"> modèle</w:t>
      </w:r>
      <w:r w:rsidR="00D61F16">
        <w:rPr>
          <w:rFonts w:cstheme="minorHAnsi"/>
          <w:color w:val="222222"/>
          <w:shd w:val="clear" w:color="auto" w:fill="FFFFFF"/>
        </w:rPr>
        <w:t xml:space="preserve"> qu’il appelle</w:t>
      </w:r>
      <w:r w:rsidRPr="00EB6A45">
        <w:rPr>
          <w:rFonts w:cstheme="minorHAnsi"/>
          <w:color w:val="222222"/>
          <w:shd w:val="clear" w:color="auto" w:fill="FFFFFF"/>
        </w:rPr>
        <w:t xml:space="preserve"> « </w:t>
      </w:r>
      <w:proofErr w:type="spellStart"/>
      <w:r w:rsidRPr="00EB6A45">
        <w:rPr>
          <w:rFonts w:cstheme="minorHAnsi"/>
          <w:i/>
          <w:iCs/>
          <w:color w:val="222222"/>
          <w:shd w:val="clear" w:color="auto" w:fill="FFFFFF"/>
        </w:rPr>
        <w:t>Daisyworld</w:t>
      </w:r>
      <w:proofErr w:type="spellEnd"/>
      <w:r w:rsidRPr="00EB6A45">
        <w:rPr>
          <w:rFonts w:cstheme="minorHAnsi"/>
          <w:color w:val="222222"/>
          <w:shd w:val="clear" w:color="auto" w:fill="FFFFFF"/>
        </w:rPr>
        <w:t xml:space="preserve"> » </w:t>
      </w:r>
      <w:r w:rsidR="00D61F16">
        <w:rPr>
          <w:rFonts w:cstheme="minorHAnsi"/>
          <w:color w:val="222222"/>
          <w:shd w:val="clear" w:color="auto" w:fill="FFFFFF"/>
        </w:rPr>
        <w:t xml:space="preserve"> (monde des marguerites) </w:t>
      </w:r>
      <w:r w:rsidRPr="00EB6A45">
        <w:rPr>
          <w:rFonts w:cstheme="minorHAnsi"/>
          <w:color w:val="222222"/>
          <w:shd w:val="clear" w:color="auto" w:fill="FFFFFF"/>
        </w:rPr>
        <w:t>car il utilise une planète imaginaire peuplée de pâquerettes claires et d'autres sombres entrant en compétition pour conquérir l'espace, et contribuant se faisant à réguler la température de cette planète imaginaire. Les pâquerettes de couleur noire absorbent les calories solaires. Elles sont donc plus tolérantes au froid et couvrent l'espace quand il fait froid. Puis après un certain temps, leur albédo réchauffe le milieu au point que les pâquerettes blanches deviennent plus compétitives, mais en couvrant le sol elles augmentent l'albédo et refroidissent donc la planète, ce qui va à nouveau favoriser les pâquerettes noires, etc</w:t>
      </w:r>
      <w:r w:rsidR="00D61F16">
        <w:rPr>
          <w:rFonts w:cstheme="minorHAnsi"/>
          <w:color w:val="222222"/>
          <w:shd w:val="clear" w:color="auto" w:fill="FFFFFF"/>
        </w:rPr>
        <w:t xml:space="preserve">… </w:t>
      </w:r>
    </w:p>
    <w:p w14:paraId="3B431633" w14:textId="1073B61D" w:rsidR="00D61F16" w:rsidRDefault="00D61F16" w:rsidP="00886DC6">
      <w:pPr>
        <w:rPr>
          <w:rFonts w:cstheme="minorHAnsi"/>
          <w:color w:val="222222"/>
          <w:shd w:val="clear" w:color="auto" w:fill="FFFFFF"/>
        </w:rPr>
      </w:pPr>
      <w:r>
        <w:rPr>
          <w:rFonts w:cstheme="minorHAnsi"/>
          <w:color w:val="222222"/>
          <w:shd w:val="clear" w:color="auto" w:fill="FFFFFF"/>
        </w:rPr>
        <w:t xml:space="preserve">NB : Daisy est bien la femme de Donald (mais il ne faut pas se </w:t>
      </w:r>
      <w:proofErr w:type="spellStart"/>
      <w:r>
        <w:rPr>
          <w:rFonts w:cstheme="minorHAnsi"/>
          <w:color w:val="222222"/>
          <w:shd w:val="clear" w:color="auto" w:fill="FFFFFF"/>
        </w:rPr>
        <w:t>Trumper</w:t>
      </w:r>
      <w:proofErr w:type="spellEnd"/>
      <w:r>
        <w:rPr>
          <w:rFonts w:cstheme="minorHAnsi"/>
          <w:color w:val="222222"/>
          <w:shd w:val="clear" w:color="auto" w:fill="FFFFFF"/>
        </w:rPr>
        <w:t> !).</w:t>
      </w:r>
    </w:p>
    <w:p w14:paraId="421E4150" w14:textId="7EDD6872" w:rsidR="00646E3E" w:rsidRPr="00EB6A45" w:rsidRDefault="00646E3E" w:rsidP="00886DC6">
      <w:pPr>
        <w:rPr>
          <w:rFonts w:cstheme="minorHAnsi"/>
        </w:rPr>
      </w:pPr>
      <w:r>
        <w:rPr>
          <w:rFonts w:cstheme="minorHAnsi"/>
          <w:color w:val="222222"/>
          <w:shd w:val="clear" w:color="auto" w:fill="FFFFFF"/>
        </w:rPr>
        <w:t>PS : j’ai écrit ce texte avant les élections américaines…</w:t>
      </w:r>
    </w:p>
    <w:p w14:paraId="17B768AA" w14:textId="77777777" w:rsidR="007F1EB9" w:rsidRDefault="00DA19DF" w:rsidP="00886DC6">
      <w:hyperlink r:id="rId34" w:history="1">
        <w:r w:rsidR="007F1EB9">
          <w:rPr>
            <w:rStyle w:val="Lienhypertexte"/>
          </w:rPr>
          <w:t>https://fr.wikipedia.org/wiki/Daisyworld</w:t>
        </w:r>
      </w:hyperlink>
    </w:p>
    <w:p w14:paraId="7236F5D5" w14:textId="77777777" w:rsidR="00D61F16" w:rsidRDefault="003F0B95" w:rsidP="00886DC6">
      <w:r>
        <w:rPr>
          <w:noProof/>
          <w:lang w:eastAsia="fr-FR"/>
        </w:rPr>
        <w:drawing>
          <wp:inline distT="0" distB="0" distL="0" distR="0" wp14:anchorId="0AC5E7A4" wp14:editId="655433DA">
            <wp:extent cx="5760720" cy="25165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uerites B&amp;W.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516505"/>
                    </a:xfrm>
                    <a:prstGeom prst="rect">
                      <a:avLst/>
                    </a:prstGeom>
                  </pic:spPr>
                </pic:pic>
              </a:graphicData>
            </a:graphic>
          </wp:inline>
        </w:drawing>
      </w:r>
    </w:p>
    <w:p w14:paraId="4181CF6F" w14:textId="77777777" w:rsidR="003F0B95" w:rsidRDefault="003F0B95" w:rsidP="00886DC6">
      <w:r>
        <w:t>Les équations qui régissent le système (pour les initiés) font effectivement intervenir le calcul différentiel :</w:t>
      </w:r>
    </w:p>
    <w:p w14:paraId="2BFFB443" w14:textId="77777777" w:rsidR="003F0B95" w:rsidRPr="003F0B95" w:rsidRDefault="00DA19DF" w:rsidP="003F0B95">
      <w:pPr>
        <w:rPr>
          <w:rFonts w:eastAsiaTheme="minorEastAsia"/>
        </w:rPr>
      </w:pPr>
      <m:oMathPara>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dα</m:t>
                  </m:r>
                </m:e>
                <m:sub>
                  <m:r>
                    <w:rPr>
                      <w:rFonts w:ascii="Cambria Math" w:hAnsi="Cambria Math" w:cstheme="minorHAnsi"/>
                    </w:rPr>
                    <m:t>b</m:t>
                  </m:r>
                </m:sub>
              </m:sSub>
            </m:num>
            <m:den>
              <m:r>
                <w:rPr>
                  <w:rFonts w:ascii="Cambria Math" w:hAnsi="Cambria Math" w:cstheme="minorHAnsi"/>
                </w:rPr>
                <m:t>d 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b</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s</m:t>
                  </m:r>
                </m:sub>
              </m:sSub>
              <m:r>
                <w:rPr>
                  <w:rFonts w:ascii="Cambria Math" w:hAnsi="Cambria Math" w:cstheme="minorHAnsi"/>
                </w:rPr>
                <m:t>.β</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b</m:t>
                      </m:r>
                    </m:sub>
                  </m:sSub>
                </m:e>
              </m:d>
              <m:r>
                <w:rPr>
                  <w:rFonts w:ascii="Cambria Math" w:hAnsi="Cambria Math" w:cstheme="minorHAnsi"/>
                </w:rPr>
                <m:t>-γ</m:t>
              </m:r>
            </m:e>
          </m:d>
        </m:oMath>
      </m:oMathPara>
    </w:p>
    <w:p w14:paraId="0BB32724" w14:textId="77777777" w:rsidR="003F0B95" w:rsidRPr="003F0B95" w:rsidRDefault="00DA19DF" w:rsidP="003F0B95">
      <w:pPr>
        <w:rPr>
          <w:rFonts w:eastAsiaTheme="minorEastAsia"/>
        </w:rPr>
      </w:pPr>
      <m:oMathPara>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dα</m:t>
                  </m:r>
                </m:e>
                <m:sub>
                  <m:r>
                    <w:rPr>
                      <w:rFonts w:ascii="Cambria Math" w:hAnsi="Cambria Math" w:cstheme="minorHAnsi"/>
                    </w:rPr>
                    <m:t>n</m:t>
                  </m:r>
                </m:sub>
              </m:sSub>
            </m:num>
            <m:den>
              <m:r>
                <w:rPr>
                  <w:rFonts w:ascii="Cambria Math" w:hAnsi="Cambria Math" w:cstheme="minorHAnsi"/>
                </w:rPr>
                <m:t>d 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s</m:t>
              </m:r>
            </m:sub>
          </m:sSub>
          <m:r>
            <w:rPr>
              <w:rFonts w:ascii="Cambria Math" w:hAnsi="Cambria Math" w:cstheme="minorHAnsi"/>
            </w:rPr>
            <m:t>.β</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n</m:t>
                  </m:r>
                </m:sub>
              </m:sSub>
            </m:e>
          </m:d>
          <m:r>
            <w:rPr>
              <w:rFonts w:ascii="Cambria Math" w:hAnsi="Cambria Math" w:cstheme="minorHAnsi"/>
            </w:rPr>
            <m:t>-γ)</m:t>
          </m:r>
        </m:oMath>
      </m:oMathPara>
    </w:p>
    <w:p w14:paraId="72F1376A" w14:textId="77777777" w:rsidR="00FF7F4A" w:rsidRDefault="003F0B95" w:rsidP="003F0B95">
      <w:pPr>
        <w:rPr>
          <w:rFonts w:eastAsiaTheme="minorEastAsia"/>
        </w:rPr>
      </w:pPr>
      <w:r>
        <w:rPr>
          <w:rFonts w:eastAsiaTheme="minorEastAsia"/>
        </w:rPr>
        <w:lastRenderedPageBreak/>
        <w:t xml:space="preserve">Où </w:t>
      </w:r>
    </w:p>
    <w:p w14:paraId="2AE7C536" w14:textId="77777777" w:rsidR="00FF7F4A" w:rsidRDefault="00DA19DF" w:rsidP="003F0B95">
      <w:pPr>
        <w:rPr>
          <w:rFonts w:eastAsiaTheme="minorEastAsia"/>
        </w:rPr>
      </w:pPr>
      <m:oMath>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b</m:t>
            </m:r>
          </m:sub>
        </m:sSub>
      </m:oMath>
      <w:r w:rsidR="003F0B95">
        <w:rPr>
          <w:rFonts w:eastAsiaTheme="minorEastAsia"/>
        </w:rPr>
        <w:t xml:space="preserve"> </w:t>
      </w:r>
      <w:proofErr w:type="gramStart"/>
      <w:r w:rsidR="003F0B95">
        <w:rPr>
          <w:rFonts w:eastAsiaTheme="minorEastAsia"/>
        </w:rPr>
        <w:t>désigne</w:t>
      </w:r>
      <w:proofErr w:type="gramEnd"/>
      <w:r w:rsidR="003F0B95">
        <w:rPr>
          <w:rFonts w:eastAsiaTheme="minorEastAsia"/>
        </w:rPr>
        <w:t xml:space="preserve"> la proportion de pâquerettes blanches (d’où l’indice </w:t>
      </w:r>
      <w:r w:rsidR="00FF7F4A" w:rsidRPr="00FF7F4A">
        <w:rPr>
          <w:rFonts w:eastAsiaTheme="minorEastAsia"/>
          <w:i/>
        </w:rPr>
        <w:t>b</w:t>
      </w:r>
      <w:r w:rsidR="00FF7F4A">
        <w:rPr>
          <w:rFonts w:eastAsiaTheme="minorEastAsia"/>
        </w:rPr>
        <w:t xml:space="preserve">), </w:t>
      </w:r>
    </w:p>
    <w:p w14:paraId="18856B15" w14:textId="77777777" w:rsidR="00FF7F4A" w:rsidRDefault="00DA19DF" w:rsidP="003F0B95">
      <w:pPr>
        <w:rPr>
          <w:rFonts w:eastAsiaTheme="minorEastAsia"/>
        </w:rPr>
      </w:pPr>
      <m:oMath>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n</m:t>
            </m:r>
          </m:sub>
        </m:sSub>
      </m:oMath>
      <w:proofErr w:type="gramStart"/>
      <w:r w:rsidR="00FF7F4A">
        <w:rPr>
          <w:rFonts w:eastAsiaTheme="minorEastAsia"/>
        </w:rPr>
        <w:t>désigne</w:t>
      </w:r>
      <w:proofErr w:type="gramEnd"/>
      <w:r w:rsidR="00FF7F4A">
        <w:rPr>
          <w:rFonts w:eastAsiaTheme="minorEastAsia"/>
        </w:rPr>
        <w:t xml:space="preserve"> la proportion de pâquerettes noires et </w:t>
      </w:r>
    </w:p>
    <w:p w14:paraId="5169BC86" w14:textId="77777777" w:rsidR="00FF7F4A" w:rsidRDefault="00DA19DF" w:rsidP="003F0B95">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m:t>
            </m:r>
          </m:sub>
        </m:sSub>
      </m:oMath>
      <w:r w:rsidR="00FF7F4A">
        <w:rPr>
          <w:rFonts w:eastAsiaTheme="minorEastAsia"/>
        </w:rPr>
        <w:t xml:space="preserve"> </w:t>
      </w:r>
      <w:proofErr w:type="gramStart"/>
      <w:r w:rsidR="00FF7F4A">
        <w:rPr>
          <w:rFonts w:eastAsiaTheme="minorEastAsia"/>
        </w:rPr>
        <w:t>représente</w:t>
      </w:r>
      <w:proofErr w:type="gramEnd"/>
      <w:r w:rsidR="00FF7F4A">
        <w:rPr>
          <w:rFonts w:eastAsiaTheme="minorEastAsia"/>
        </w:rPr>
        <w:t xml:space="preserve"> le sol nu avec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m:t>
            </m:r>
          </m:sub>
        </m:sSub>
        <m:r>
          <w:rPr>
            <w:rFonts w:ascii="Cambria Math" w:eastAsiaTheme="minorEastAsia" w:hAnsi="Cambria Math"/>
          </w:rPr>
          <m:t>=1</m:t>
        </m:r>
      </m:oMath>
      <w:r w:rsidR="00FF7F4A">
        <w:rPr>
          <w:rFonts w:eastAsiaTheme="minorEastAsia"/>
        </w:rPr>
        <w:t>.</w:t>
      </w:r>
    </w:p>
    <w:p w14:paraId="60724DD9" w14:textId="77777777" w:rsidR="00FF7F4A" w:rsidRDefault="00FF7F4A" w:rsidP="003F0B95">
      <w:pPr>
        <w:rPr>
          <w:rFonts w:eastAsiaTheme="minorEastAsia" w:cstheme="minorHAnsi"/>
        </w:rPr>
      </w:pPr>
      <w:proofErr w:type="gramStart"/>
      <w:r>
        <w:rPr>
          <w:rFonts w:eastAsiaTheme="minorEastAsia" w:cstheme="minorHAnsi"/>
        </w:rPr>
        <w:t>β</w:t>
      </w:r>
      <w:proofErr w:type="gramEnd"/>
      <w:r>
        <w:rPr>
          <w:rFonts w:eastAsiaTheme="minorEastAsia" w:cstheme="minorHAnsi"/>
        </w:rPr>
        <w:t xml:space="preserve"> est le taux de croissance, </w:t>
      </w:r>
    </w:p>
    <w:p w14:paraId="1C2170A0" w14:textId="77777777" w:rsidR="00FF7F4A" w:rsidRDefault="00FF7F4A" w:rsidP="003F0B95">
      <w:pPr>
        <w:rPr>
          <w:rFonts w:eastAsiaTheme="minorEastAsia" w:cstheme="minorHAnsi"/>
        </w:rPr>
      </w:pPr>
      <w:proofErr w:type="gramStart"/>
      <w:r>
        <w:rPr>
          <w:rFonts w:eastAsiaTheme="minorEastAsia" w:cstheme="minorHAnsi"/>
        </w:rPr>
        <w:t>γ</w:t>
      </w:r>
      <w:proofErr w:type="gramEnd"/>
      <w:r>
        <w:rPr>
          <w:rFonts w:eastAsiaTheme="minorEastAsia" w:cstheme="minorHAnsi"/>
        </w:rPr>
        <w:t xml:space="preserve"> le taux de mortalité, </w:t>
      </w:r>
    </w:p>
    <w:p w14:paraId="49EA6817" w14:textId="77777777" w:rsidR="00FF7F4A" w:rsidRDefault="00DA19DF" w:rsidP="003F0B95">
      <w:pPr>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b</m:t>
            </m:r>
          </m:sub>
        </m:sSub>
      </m:oMath>
      <w:r w:rsidR="00FF7F4A">
        <w:rPr>
          <w:rFonts w:eastAsiaTheme="minorEastAsia" w:cstheme="minorHAnsi"/>
        </w:rPr>
        <w:t xml:space="preserve"> </w:t>
      </w:r>
      <w:proofErr w:type="gramStart"/>
      <w:r w:rsidR="00FF7F4A">
        <w:rPr>
          <w:rFonts w:eastAsiaTheme="minorEastAsia" w:cstheme="minorHAnsi"/>
        </w:rPr>
        <w:t>la</w:t>
      </w:r>
      <w:proofErr w:type="gramEnd"/>
      <w:r w:rsidR="00FF7F4A">
        <w:rPr>
          <w:rFonts w:eastAsiaTheme="minorEastAsia" w:cstheme="minorHAnsi"/>
        </w:rPr>
        <w:t xml:space="preserve"> température ressentie par les pâquerettes blanches,</w:t>
      </w:r>
    </w:p>
    <w:p w14:paraId="40A81C83" w14:textId="77777777" w:rsidR="00FF7F4A" w:rsidRDefault="00FF7F4A" w:rsidP="003F0B95">
      <w:pPr>
        <w:rPr>
          <w:rFonts w:eastAsiaTheme="minorEastAsia"/>
        </w:rPr>
      </w:pPr>
      <w:r>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n</m:t>
            </m:r>
          </m:sub>
        </m:sSub>
      </m:oMath>
      <w:r>
        <w:rPr>
          <w:rFonts w:eastAsiaTheme="minorEastAsia" w:cstheme="minorHAnsi"/>
        </w:rPr>
        <w:t xml:space="preserve"> </w:t>
      </w:r>
      <w:proofErr w:type="gramStart"/>
      <w:r>
        <w:rPr>
          <w:rFonts w:eastAsiaTheme="minorEastAsia" w:cstheme="minorHAnsi"/>
        </w:rPr>
        <w:t>la</w:t>
      </w:r>
      <w:proofErr w:type="gramEnd"/>
      <w:r>
        <w:rPr>
          <w:rFonts w:eastAsiaTheme="minorEastAsia" w:cstheme="minorHAnsi"/>
        </w:rPr>
        <w:t xml:space="preserve"> température ressentie par les pâquerettes noires</w:t>
      </w:r>
    </w:p>
    <w:p w14:paraId="0C5AA57C" w14:textId="77777777" w:rsidR="00FF7F4A" w:rsidRDefault="008A775D" w:rsidP="003F0B95">
      <w:pPr>
        <w:rPr>
          <w:rFonts w:eastAsiaTheme="minorEastAsia"/>
        </w:rPr>
      </w:pPr>
      <w:r>
        <w:rPr>
          <w:rFonts w:eastAsiaTheme="minorEastAsia"/>
        </w:rPr>
        <w:t>Avec les formules suivantes</w:t>
      </w:r>
    </w:p>
    <w:p w14:paraId="0C8B3C00" w14:textId="77777777" w:rsidR="008A775D" w:rsidRDefault="008A775D" w:rsidP="003F0B95">
      <w:pPr>
        <w:rPr>
          <w:rFonts w:eastAsiaTheme="minorEastAsia"/>
        </w:rPr>
      </w:pPr>
      <m:oMath>
        <m:r>
          <w:rPr>
            <w:rFonts w:ascii="Cambria Math" w:eastAsiaTheme="minorEastAsia" w:hAnsi="Cambria Math"/>
          </w:rPr>
          <m:t>β(</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proofErr w:type="gramStart"/>
      <w:r>
        <w:rPr>
          <w:rFonts w:eastAsiaTheme="minorEastAsia"/>
        </w:rPr>
        <w:t>)=</w:t>
      </w:r>
      <w:proofErr w:type="gramEnd"/>
      <m:oMath>
        <m:r>
          <w:rPr>
            <w:rFonts w:ascii="Cambria Math" w:eastAsiaTheme="minorEastAsia" w:hAnsi="Cambria Math"/>
          </w:rPr>
          <m:t>1-k(</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opt</m:t>
            </m:r>
          </m:sub>
        </m:sSub>
      </m:oMath>
      <w:r>
        <w:rPr>
          <w:rFonts w:eastAsiaTheme="minorEastAsia"/>
        </w:rPr>
        <w:t>)² si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opt</m:t>
            </m:r>
          </m:sub>
        </m:sSub>
      </m:oMath>
      <w:r>
        <w:rPr>
          <w:rFonts w:eastAsiaTheme="minorEastAsia"/>
        </w:rPr>
        <w:t>|&lt;</w:t>
      </w:r>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oMath>
      <w:r>
        <w:rPr>
          <w:rFonts w:eastAsiaTheme="minorEastAsia"/>
        </w:rPr>
        <w:t xml:space="preserve">  et </w:t>
      </w:r>
      <m:oMath>
        <m:r>
          <w:rPr>
            <w:rFonts w:ascii="Cambria Math" w:eastAsiaTheme="minorEastAsia" w:hAnsi="Cambria Math"/>
          </w:rPr>
          <m:t>β(</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Pr>
          <w:rFonts w:eastAsiaTheme="minorEastAsia"/>
        </w:rPr>
        <w:t xml:space="preserve">)=0 sinon, même chose pour </w:t>
      </w:r>
      <m:oMath>
        <m:r>
          <w:rPr>
            <w:rFonts w:ascii="Cambria Math" w:eastAsiaTheme="minorEastAsia" w:hAnsi="Cambria Math"/>
          </w:rPr>
          <m:t>β(</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oMath>
      <w:r>
        <w:rPr>
          <w:rFonts w:eastAsiaTheme="minorEastAsia"/>
        </w:rPr>
        <w:t>).</w:t>
      </w:r>
    </w:p>
    <w:p w14:paraId="54897715" w14:textId="77777777" w:rsidR="008A775D" w:rsidRDefault="00DA19DF" w:rsidP="003F0B95">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opt</m:t>
            </m:r>
          </m:sub>
        </m:sSub>
      </m:oMath>
      <w:r w:rsidR="008A775D">
        <w:rPr>
          <w:rFonts w:eastAsiaTheme="minorEastAsia"/>
        </w:rPr>
        <w:t xml:space="preserve"> </w:t>
      </w:r>
      <w:proofErr w:type="gramStart"/>
      <w:r w:rsidR="008A775D">
        <w:rPr>
          <w:rFonts w:eastAsiaTheme="minorEastAsia"/>
        </w:rPr>
        <w:t>étant</w:t>
      </w:r>
      <w:proofErr w:type="gramEnd"/>
      <w:r w:rsidR="008A775D">
        <w:rPr>
          <w:rFonts w:eastAsiaTheme="minorEastAsia"/>
        </w:rPr>
        <w:t xml:space="preserve"> la température de croissance optimale des pâquerettes.</w:t>
      </w:r>
    </w:p>
    <w:p w14:paraId="38AA4B7A" w14:textId="192E783E" w:rsidR="00D35CDC" w:rsidRPr="008A775D" w:rsidRDefault="00D35CDC" w:rsidP="003F0B95">
      <w:pPr>
        <w:rPr>
          <w:rFonts w:eastAsiaTheme="minorEastAsia"/>
        </w:rPr>
      </w:pPr>
      <w:r>
        <w:rPr>
          <w:rFonts w:eastAsiaTheme="minorEastAsia"/>
        </w:rPr>
        <w:t>Cela est quand même très compliqué</w:t>
      </w:r>
      <w:r w:rsidR="00646E3E">
        <w:rPr>
          <w:rFonts w:eastAsiaTheme="minorEastAsia"/>
        </w:rPr>
        <w:t xml:space="preserve"> et pourtant</w:t>
      </w:r>
      <w:r>
        <w:rPr>
          <w:rFonts w:eastAsiaTheme="minorEastAsia"/>
        </w:rPr>
        <w:t xml:space="preserve"> c’est de l’écologie élémentaire…</w:t>
      </w:r>
    </w:p>
    <w:p w14:paraId="781E61E8" w14:textId="77777777" w:rsidR="003F0B95" w:rsidRPr="003C4431" w:rsidRDefault="00D35CDC" w:rsidP="00886DC6">
      <w:pPr>
        <w:rPr>
          <w:rFonts w:eastAsiaTheme="minorEastAsia"/>
          <w:b/>
          <w:sz w:val="28"/>
        </w:rPr>
      </w:pPr>
      <w:r>
        <w:rPr>
          <w:rFonts w:eastAsiaTheme="minorEastAsia"/>
          <w:b/>
          <w:sz w:val="28"/>
        </w:rPr>
        <w:t xml:space="preserve">4 - </w:t>
      </w:r>
      <w:r w:rsidR="003C4431" w:rsidRPr="003C4431">
        <w:rPr>
          <w:rFonts w:eastAsiaTheme="minorEastAsia"/>
          <w:b/>
          <w:sz w:val="28"/>
        </w:rPr>
        <w:t>Le modèle Proie-Prédateur</w:t>
      </w:r>
      <w:r w:rsidR="003C4431">
        <w:rPr>
          <w:rFonts w:eastAsiaTheme="minorEastAsia"/>
          <w:b/>
          <w:sz w:val="28"/>
        </w:rPr>
        <w:t>.</w:t>
      </w:r>
    </w:p>
    <w:p w14:paraId="409EF246" w14:textId="77777777" w:rsidR="00230E16" w:rsidRDefault="00DA19DF" w:rsidP="00886DC6">
      <w:hyperlink r:id="rId36" w:history="1">
        <w:r w:rsidR="003C4431">
          <w:rPr>
            <w:rStyle w:val="Lienhypertexte"/>
          </w:rPr>
          <w:t>https://fr.wikipedia.org/wiki/%C3%89quations_de_pr%C3%A9dation_de_Lotka-Volterra</w:t>
        </w:r>
      </w:hyperlink>
    </w:p>
    <w:p w14:paraId="2CC13DF9" w14:textId="77777777" w:rsidR="003C4431" w:rsidRDefault="003C4431" w:rsidP="00886DC6">
      <w:r>
        <w:rPr>
          <w:rFonts w:cstheme="minorHAnsi"/>
          <w:bCs/>
          <w:color w:val="222222"/>
          <w:shd w:val="clear" w:color="auto" w:fill="FFFFFF"/>
        </w:rPr>
        <w:t xml:space="preserve">Les </w:t>
      </w:r>
      <w:r w:rsidRPr="003C4431">
        <w:rPr>
          <w:rFonts w:cstheme="minorHAnsi"/>
          <w:bCs/>
          <w:color w:val="222222"/>
          <w:shd w:val="clear" w:color="auto" w:fill="FFFFFF"/>
        </w:rPr>
        <w:t xml:space="preserve">équations de prédation de </w:t>
      </w:r>
      <w:proofErr w:type="spellStart"/>
      <w:r w:rsidRPr="003C4431">
        <w:rPr>
          <w:rFonts w:cstheme="minorHAnsi"/>
          <w:bCs/>
          <w:color w:val="222222"/>
          <w:shd w:val="clear" w:color="auto" w:fill="FFFFFF"/>
        </w:rPr>
        <w:t>Lotka</w:t>
      </w:r>
      <w:proofErr w:type="spellEnd"/>
      <w:r w:rsidRPr="003C4431">
        <w:rPr>
          <w:rFonts w:cstheme="minorHAnsi"/>
          <w:bCs/>
          <w:color w:val="222222"/>
          <w:shd w:val="clear" w:color="auto" w:fill="FFFFFF"/>
        </w:rPr>
        <w:t>-Volterra</w:t>
      </w:r>
      <w:r>
        <w:rPr>
          <w:rFonts w:cstheme="minorHAnsi"/>
          <w:bCs/>
          <w:color w:val="222222"/>
          <w:shd w:val="clear" w:color="auto" w:fill="FFFFFF"/>
        </w:rPr>
        <w:t xml:space="preserve"> ont été proposées indépendamment par deux mathématiciens, </w:t>
      </w:r>
      <w:r w:rsidR="00BC7B85">
        <w:t xml:space="preserve">Alfred James </w:t>
      </w:r>
      <w:proofErr w:type="spellStart"/>
      <w:r w:rsidR="00BC7B85">
        <w:t>Lotka</w:t>
      </w:r>
      <w:proofErr w:type="spellEnd"/>
      <w:r w:rsidR="00BC7B85">
        <w:t xml:space="preserve"> et  Vito Volterra. L’idée est la suivante :</w:t>
      </w:r>
    </w:p>
    <w:p w14:paraId="0C734B6F" w14:textId="77777777" w:rsidR="00BC7B85" w:rsidRDefault="00BC7B85" w:rsidP="00886DC6">
      <w:r>
        <w:t>On imagine un pays où vivent deux populations, d’un côté les proies (par exemple des brebis) et de l’autre des prédateurs (on va prendre les méchants loups). S’il y a beaucoup de brebis, les loups n’ont que l’embarras du choix, ils se multiplie à grande vitesse et mangent beaucoup de brebis. Le problème est que les brebis deviennent rares ce qui entraîne la mort de faim d’un grand nombre de loup. Les brebis peuvent alors se multiplier et devenir nombreuses ce qui nous ramène à la première situation. La formulation mathématique nous donne les équations suivantes :</w:t>
      </w:r>
    </w:p>
    <w:p w14:paraId="3E2189DC" w14:textId="77777777" w:rsidR="00202D1C" w:rsidRPr="00202D1C" w:rsidRDefault="00202D1C" w:rsidP="00202D1C">
      <w:pPr>
        <w:rPr>
          <w:rFonts w:eastAsiaTheme="minorEastAsia" w:cstheme="minorHAnsi"/>
        </w:rPr>
      </w:pPr>
      <w:r>
        <w:t xml:space="preserve">Equation des proies :  </w:t>
      </w:r>
      <m:oMath>
        <m:f>
          <m:fPr>
            <m:ctrlPr>
              <w:rPr>
                <w:rFonts w:ascii="Cambria Math" w:hAnsi="Cambria Math" w:cstheme="minorHAnsi"/>
                <w:i/>
              </w:rPr>
            </m:ctrlPr>
          </m:fPr>
          <m:num>
            <m:r>
              <w:rPr>
                <w:rFonts w:ascii="Cambria Math" w:hAnsi="Cambria Math" w:cstheme="minorHAnsi"/>
              </w:rPr>
              <m:t>dx</m:t>
            </m:r>
          </m:num>
          <m:den>
            <m:r>
              <w:rPr>
                <w:rFonts w:ascii="Cambria Math" w:hAnsi="Cambria Math" w:cstheme="minorHAnsi"/>
              </w:rPr>
              <m:t>dt</m:t>
            </m:r>
          </m:den>
        </m:f>
        <m:r>
          <w:rPr>
            <w:rFonts w:ascii="Cambria Math" w:hAnsi="Cambria Math" w:cstheme="minorHAnsi"/>
          </w:rPr>
          <m:t>=α.x</m:t>
        </m:r>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-β.x</m:t>
        </m:r>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.y(t)</m:t>
        </m:r>
      </m:oMath>
    </w:p>
    <w:p w14:paraId="27B2A107" w14:textId="77777777" w:rsidR="00F61DEF" w:rsidRDefault="00F61DEF" w:rsidP="00886DC6">
      <w:pPr>
        <w:rPr>
          <w:rFonts w:cstheme="minorHAnsi"/>
          <w:color w:val="222222"/>
          <w:shd w:val="clear" w:color="auto" w:fill="FFFFFF"/>
        </w:rPr>
      </w:pPr>
      <w:r w:rsidRPr="00F61DEF">
        <w:rPr>
          <w:rFonts w:cstheme="minorHAnsi"/>
          <w:color w:val="222222"/>
          <w:shd w:val="clear" w:color="auto" w:fill="FFFFFF"/>
        </w:rPr>
        <w:t>Les proies sont supposées avoir une source illimitée de nourriture et se reproduire exponentiellement si elles ne sont soumises à aucune prédation ; cette </w:t>
      </w:r>
      <w:r w:rsidR="00A01AAB">
        <w:rPr>
          <w:rFonts w:cstheme="minorHAnsi"/>
          <w:color w:val="222222"/>
          <w:shd w:val="clear" w:color="auto" w:fill="FFFFFF"/>
        </w:rPr>
        <w:t xml:space="preserve">croissance exponentielle </w:t>
      </w:r>
      <w:r w:rsidRPr="00F61DEF">
        <w:rPr>
          <w:rFonts w:cstheme="minorHAnsi"/>
          <w:color w:val="222222"/>
          <w:shd w:val="clear" w:color="auto" w:fill="FFFFFF"/>
        </w:rPr>
        <w:t>est représentée dans l'équation ci-dessus par le terme </w:t>
      </w:r>
      <w:r w:rsidRPr="00F61DEF">
        <w:rPr>
          <w:rStyle w:val="mwe-math-mathml-inline"/>
          <w:rFonts w:cstheme="minorHAnsi"/>
          <w:vanish/>
          <w:color w:val="222222"/>
          <w:shd w:val="clear" w:color="auto" w:fill="FFFFFF"/>
        </w:rPr>
        <w:t>{\displaystyle \alpha x(t)}</w:t>
      </w:r>
      <m:oMath>
        <m:r>
          <w:rPr>
            <w:rStyle w:val="mwe-math-mathml-inline"/>
            <w:rFonts w:ascii="Cambria Math" w:hAnsi="Cambria Math" w:cstheme="minorHAnsi"/>
            <w:vanish/>
            <w:color w:val="222222"/>
            <w:shd w:val="clear" w:color="auto" w:fill="FFFFFF"/>
          </w:rPr>
          <m:t>α</m:t>
        </m:r>
        <m:r>
          <w:rPr>
            <w:rStyle w:val="mwe-math-mathml-inline"/>
            <w:rFonts w:ascii="Cambria Math" w:hAnsi="Cambria Math" w:cstheme="minorHAnsi"/>
            <w:color w:val="222222"/>
            <w:shd w:val="clear" w:color="auto" w:fill="FFFFFF"/>
          </w:rPr>
          <m:t>α.x(t)</m:t>
        </m:r>
      </m:oMath>
      <w:r w:rsidRPr="00F61DEF">
        <w:rPr>
          <w:rFonts w:cstheme="minorHAnsi"/>
          <w:color w:val="222222"/>
          <w:shd w:val="clear" w:color="auto" w:fill="FFFFFF"/>
        </w:rPr>
        <w:t>. Le taux de prédation sur les proies est supposé proportionnel à la fréquence de rencontre entre les prédateurs et les proies ; il est représenté ci-dessus par </w:t>
      </w:r>
      <w:r w:rsidRPr="00F61DEF">
        <w:rPr>
          <w:rStyle w:val="mwe-math-mathml-inline"/>
          <w:rFonts w:cstheme="minorHAnsi"/>
          <w:vanish/>
          <w:color w:val="222222"/>
          <w:shd w:val="clear" w:color="auto" w:fill="FFFFFF"/>
        </w:rPr>
        <w:t>{\displaystyle \beta x(t)y(t)}</w:t>
      </w:r>
      <m:oMath>
        <m:r>
          <w:rPr>
            <w:rStyle w:val="mwe-math-mathml-inline"/>
            <w:rFonts w:ascii="Cambria Math" w:hAnsi="Cambria Math" w:cstheme="minorHAnsi"/>
            <w:vanish/>
            <w:color w:val="222222"/>
            <w:shd w:val="clear" w:color="auto" w:fill="FFFFFF"/>
          </w:rPr>
          <m:t>β</m:t>
        </m:r>
        <m:r>
          <w:rPr>
            <w:rStyle w:val="mwe-math-mathml-inline"/>
            <w:rFonts w:ascii="Cambria Math" w:hAnsi="Cambria Math" w:cstheme="minorHAnsi"/>
            <w:color w:val="222222"/>
            <w:shd w:val="clear" w:color="auto" w:fill="FFFFFF"/>
          </w:rPr>
          <m:t>β.x</m:t>
        </m:r>
        <m:d>
          <m:dPr>
            <m:ctrlPr>
              <w:rPr>
                <w:rStyle w:val="mwe-math-mathml-inline"/>
                <w:rFonts w:ascii="Cambria Math" w:hAnsi="Cambria Math" w:cstheme="minorHAnsi"/>
                <w:i/>
                <w:color w:val="222222"/>
                <w:shd w:val="clear" w:color="auto" w:fill="FFFFFF"/>
              </w:rPr>
            </m:ctrlPr>
          </m:dPr>
          <m:e>
            <m:r>
              <w:rPr>
                <w:rStyle w:val="mwe-math-mathml-inline"/>
                <w:rFonts w:ascii="Cambria Math" w:hAnsi="Cambria Math" w:cstheme="minorHAnsi"/>
                <w:color w:val="222222"/>
                <w:shd w:val="clear" w:color="auto" w:fill="FFFFFF"/>
              </w:rPr>
              <m:t>t</m:t>
            </m:r>
          </m:e>
        </m:d>
        <m:r>
          <w:rPr>
            <w:rStyle w:val="mwe-math-mathml-inline"/>
            <w:rFonts w:ascii="Cambria Math" w:hAnsi="Cambria Math" w:cstheme="minorHAnsi"/>
            <w:color w:val="222222"/>
            <w:shd w:val="clear" w:color="auto" w:fill="FFFFFF"/>
          </w:rPr>
          <m:t>.y(t)</m:t>
        </m:r>
      </m:oMath>
      <w:r w:rsidRPr="00F61DEF">
        <w:rPr>
          <w:rFonts w:cstheme="minorHAnsi"/>
          <w:color w:val="222222"/>
          <w:shd w:val="clear" w:color="auto" w:fill="FFFFFF"/>
        </w:rPr>
        <w:t>. Si l'un des termes </w:t>
      </w:r>
      <w:r w:rsidRPr="00F61DEF">
        <w:rPr>
          <w:rStyle w:val="mwe-math-mathml-inline"/>
          <w:rFonts w:cstheme="minorHAnsi"/>
          <w:vanish/>
          <w:color w:val="222222"/>
          <w:shd w:val="clear" w:color="auto" w:fill="FFFFFF"/>
        </w:rPr>
        <w:t>{\displaystyle x(t)}</w:t>
      </w:r>
      <w:r w:rsidRPr="00F61DEF">
        <w:rPr>
          <w:rFonts w:cstheme="minorHAnsi"/>
          <w:color w:val="222222"/>
          <w:shd w:val="clear" w:color="auto" w:fill="FFFFFF"/>
        </w:rPr>
        <w:t> ou </w:t>
      </w:r>
      <w:r w:rsidRPr="00F61DEF">
        <w:rPr>
          <w:rStyle w:val="mwe-math-mathml-inline"/>
          <w:rFonts w:cstheme="minorHAnsi"/>
          <w:vanish/>
          <w:color w:val="222222"/>
          <w:shd w:val="clear" w:color="auto" w:fill="FFFFFF"/>
        </w:rPr>
        <w:t>{\displaystyle y(t)}</w:t>
      </w:r>
      <w:r w:rsidRPr="00F61DEF">
        <w:rPr>
          <w:rFonts w:cstheme="minorHAnsi"/>
          <w:color w:val="222222"/>
          <w:shd w:val="clear" w:color="auto" w:fill="FFFFFF"/>
        </w:rPr>
        <w:t> est nul, alors il ne peut y avoir aucune prédation.</w:t>
      </w:r>
    </w:p>
    <w:p w14:paraId="0AD856CC" w14:textId="77777777" w:rsidR="00202D1C" w:rsidRPr="00202D1C" w:rsidRDefault="00202D1C" w:rsidP="00202D1C">
      <w:pPr>
        <w:rPr>
          <w:rFonts w:eastAsiaTheme="minorEastAsia" w:cstheme="minorHAnsi"/>
        </w:rPr>
      </w:pPr>
      <w:r>
        <w:rPr>
          <w:rFonts w:cstheme="minorHAnsi"/>
          <w:color w:val="222222"/>
          <w:shd w:val="clear" w:color="auto" w:fill="FFFFFF"/>
        </w:rPr>
        <w:t xml:space="preserve">Equation des prédateurs : </w:t>
      </w:r>
      <m:oMath>
        <m:f>
          <m:fPr>
            <m:ctrlPr>
              <w:rPr>
                <w:rFonts w:ascii="Cambria Math" w:hAnsi="Cambria Math" w:cstheme="minorHAnsi"/>
                <w:i/>
              </w:rPr>
            </m:ctrlPr>
          </m:fPr>
          <m:num>
            <m:r>
              <w:rPr>
                <w:rFonts w:ascii="Cambria Math" w:hAnsi="Cambria Math" w:cstheme="minorHAnsi"/>
              </w:rPr>
              <m:t>dy</m:t>
            </m:r>
          </m:num>
          <m:den>
            <m:r>
              <w:rPr>
                <w:rFonts w:ascii="Cambria Math" w:hAnsi="Cambria Math" w:cstheme="minorHAnsi"/>
              </w:rPr>
              <m:t>dt</m:t>
            </m:r>
          </m:den>
        </m:f>
        <m:r>
          <w:rPr>
            <w:rFonts w:ascii="Cambria Math" w:hAnsi="Cambria Math" w:cstheme="minorHAnsi"/>
          </w:rPr>
          <m:t>=δ.x</m:t>
        </m:r>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.y(t)-γ.y(t)</m:t>
        </m:r>
      </m:oMath>
    </w:p>
    <w:p w14:paraId="28868E00" w14:textId="77777777" w:rsidR="00202D1C" w:rsidRDefault="00202D1C" w:rsidP="00886DC6">
      <w:pPr>
        <w:rPr>
          <w:rFonts w:cstheme="minorHAnsi"/>
          <w:color w:val="222222"/>
          <w:shd w:val="clear" w:color="auto" w:fill="FFFFFF"/>
        </w:rPr>
      </w:pPr>
      <w:r>
        <w:rPr>
          <w:rFonts w:cstheme="minorHAnsi"/>
          <w:color w:val="222222"/>
          <w:shd w:val="clear" w:color="auto" w:fill="FFFFFF"/>
        </w:rPr>
        <w:lastRenderedPageBreak/>
        <w:t>Dans c</w:t>
      </w:r>
      <w:r w:rsidRPr="00202D1C">
        <w:rPr>
          <w:rFonts w:cstheme="minorHAnsi"/>
          <w:color w:val="222222"/>
          <w:shd w:val="clear" w:color="auto" w:fill="FFFFFF"/>
        </w:rPr>
        <w:t>ette équation, </w:t>
      </w:r>
      <w:r w:rsidRPr="00202D1C">
        <w:rPr>
          <w:rStyle w:val="mwe-math-mathml-inline"/>
          <w:rFonts w:cstheme="minorHAnsi"/>
          <w:vanish/>
          <w:color w:val="222222"/>
          <w:shd w:val="clear" w:color="auto" w:fill="FFFFFF"/>
        </w:rPr>
        <w:t>{\displaystyle \delta x(t)y(t)}</w:t>
      </w:r>
      <w:r w:rsidRPr="00202D1C">
        <w:rPr>
          <w:rFonts w:cstheme="minorHAnsi"/>
          <w:color w:val="222222"/>
          <w:shd w:val="clear" w:color="auto" w:fill="FFFFFF"/>
        </w:rPr>
        <w:t> </w:t>
      </w:r>
      <m:oMath>
        <m:r>
          <w:rPr>
            <w:rFonts w:ascii="Cambria Math" w:hAnsi="Cambria Math" w:cstheme="minorHAnsi"/>
          </w:rPr>
          <m:t>δ.x</m:t>
        </m:r>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.y(t)</m:t>
        </m:r>
      </m:oMath>
      <w:r>
        <w:rPr>
          <w:rFonts w:eastAsiaTheme="minorEastAsia" w:cstheme="minorHAnsi"/>
        </w:rPr>
        <w:t xml:space="preserve"> </w:t>
      </w:r>
      <w:r w:rsidRPr="00202D1C">
        <w:rPr>
          <w:rFonts w:cstheme="minorHAnsi"/>
          <w:color w:val="222222"/>
          <w:shd w:val="clear" w:color="auto" w:fill="FFFFFF"/>
        </w:rPr>
        <w:t>représente la croissance de la population prédatrice. (Notons la similarité avec le taux de prédation ; cependant, une constante différente est utilisée car la vitesse à laquelle la population des prédateurs augmente n'est pas nécessairement égale à celle à laquelle il consomme la proie). De plus,</w:t>
      </w:r>
      <w:r w:rsidRPr="00202D1C">
        <w:rPr>
          <w:rStyle w:val="mwe-math-mathml-inline"/>
          <w:rFonts w:cstheme="minorHAnsi"/>
          <w:vanish/>
          <w:color w:val="222222"/>
          <w:shd w:val="clear" w:color="auto" w:fill="FFFFFF"/>
        </w:rPr>
        <w:t>{\displaystyle \gamma y(t)}</w:t>
      </w:r>
      <w:r w:rsidRPr="00202D1C">
        <w:rPr>
          <w:rFonts w:cstheme="minorHAnsi"/>
          <w:color w:val="222222"/>
          <w:shd w:val="clear" w:color="auto" w:fill="FFFFFF"/>
        </w:rPr>
        <w:t> </w:t>
      </w:r>
      <m:oMath>
        <m:r>
          <w:rPr>
            <w:rFonts w:ascii="Cambria Math" w:hAnsi="Cambria Math" w:cstheme="minorHAnsi"/>
          </w:rPr>
          <m:t>γ.y</m:t>
        </m:r>
        <m:d>
          <m:dPr>
            <m:ctrlPr>
              <w:rPr>
                <w:rFonts w:ascii="Cambria Math" w:hAnsi="Cambria Math" w:cstheme="minorHAnsi"/>
                <w:i/>
              </w:rPr>
            </m:ctrlPr>
          </m:dPr>
          <m:e>
            <m:r>
              <w:rPr>
                <w:rFonts w:ascii="Cambria Math" w:hAnsi="Cambria Math" w:cstheme="minorHAnsi"/>
              </w:rPr>
              <m:t>t</m:t>
            </m:r>
          </m:e>
        </m:d>
      </m:oMath>
      <w:r>
        <w:rPr>
          <w:rFonts w:eastAsiaTheme="minorEastAsia" w:cstheme="minorHAnsi"/>
        </w:rPr>
        <w:t xml:space="preserve"> </w:t>
      </w:r>
      <w:r w:rsidRPr="00202D1C">
        <w:rPr>
          <w:rFonts w:cstheme="minorHAnsi"/>
          <w:color w:val="222222"/>
          <w:shd w:val="clear" w:color="auto" w:fill="FFFFFF"/>
        </w:rPr>
        <w:t>représente la mort naturelle des prédateurs ; c'est une décroissance exponentielle. L'équation représente donc la variation de la population de prédateurs en tant que croissance de cette population, diminuée du nombre de morts naturelles.</w:t>
      </w:r>
    </w:p>
    <w:p w14:paraId="4D027130" w14:textId="77777777" w:rsidR="00202D1C" w:rsidRDefault="00202D1C" w:rsidP="00886DC6">
      <w:pPr>
        <w:rPr>
          <w:rFonts w:cstheme="minorHAnsi"/>
          <w:color w:val="222222"/>
          <w:shd w:val="clear" w:color="auto" w:fill="FFFFFF"/>
        </w:rPr>
      </w:pPr>
      <w:r>
        <w:rPr>
          <w:rFonts w:cstheme="minorHAnsi"/>
          <w:color w:val="222222"/>
          <w:shd w:val="clear" w:color="auto" w:fill="FFFFFF"/>
        </w:rPr>
        <w:t>On obtient alors ce genre de courbes</w:t>
      </w:r>
    </w:p>
    <w:p w14:paraId="71BD1A72" w14:textId="77777777" w:rsidR="00202D1C" w:rsidRDefault="00202D1C" w:rsidP="00202D1C">
      <w:pPr>
        <w:jc w:val="center"/>
        <w:rPr>
          <w:rFonts w:cstheme="minorHAnsi"/>
          <w:color w:val="222222"/>
          <w:shd w:val="clear" w:color="auto" w:fill="FFFFFF"/>
        </w:rPr>
      </w:pPr>
      <w:r>
        <w:rPr>
          <w:rFonts w:cstheme="minorHAnsi"/>
          <w:noProof/>
          <w:color w:val="222222"/>
          <w:shd w:val="clear" w:color="auto" w:fill="FFFFFF"/>
          <w:lang w:eastAsia="fr-FR"/>
        </w:rPr>
        <w:drawing>
          <wp:inline distT="0" distB="0" distL="0" distR="0" wp14:anchorId="6A5611A7" wp14:editId="02F01D3F">
            <wp:extent cx="2971123" cy="2941320"/>
            <wp:effectExtent l="0" t="0" r="127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ka-Volterra_orbits_01.sv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4003" cy="2944171"/>
                    </a:xfrm>
                    <a:prstGeom prst="rect">
                      <a:avLst/>
                    </a:prstGeom>
                  </pic:spPr>
                </pic:pic>
              </a:graphicData>
            </a:graphic>
          </wp:inline>
        </w:drawing>
      </w:r>
    </w:p>
    <w:p w14:paraId="7EAC89B6" w14:textId="77777777" w:rsidR="00D35CDC" w:rsidRDefault="003A5D50" w:rsidP="003A5D50">
      <w:pPr>
        <w:rPr>
          <w:rFonts w:cstheme="minorHAnsi"/>
          <w:color w:val="222222"/>
          <w:shd w:val="clear" w:color="auto" w:fill="FFFFFF"/>
        </w:rPr>
      </w:pPr>
      <w:bookmarkStart w:id="3" w:name="_Hlk81827580"/>
      <w:r>
        <w:rPr>
          <w:rFonts w:cstheme="minorHAnsi"/>
          <w:color w:val="222222"/>
          <w:shd w:val="clear" w:color="auto" w:fill="FFFFFF"/>
        </w:rPr>
        <w:t>Ceci illustre le fait que l’évolution des populations est cyclique lorsqu’il n’y a pas de phénomène perturbateur…</w:t>
      </w:r>
      <w:r w:rsidR="00D35CDC">
        <w:rPr>
          <w:rFonts w:cstheme="minorHAnsi"/>
          <w:color w:val="222222"/>
          <w:shd w:val="clear" w:color="auto" w:fill="FFFFFF"/>
        </w:rPr>
        <w:t xml:space="preserve"> </w:t>
      </w:r>
    </w:p>
    <w:p w14:paraId="3C2C0686" w14:textId="77777777" w:rsidR="00202D1C" w:rsidRPr="00F61DEF" w:rsidRDefault="00D35CDC" w:rsidP="00886DC6">
      <w:pPr>
        <w:rPr>
          <w:rFonts w:cstheme="minorHAnsi"/>
        </w:rPr>
      </w:pPr>
      <w:r>
        <w:rPr>
          <w:rFonts w:cstheme="minorHAnsi"/>
          <w:color w:val="222222"/>
          <w:shd w:val="clear" w:color="auto" w:fill="FFFFFF"/>
        </w:rPr>
        <w:t>Là encore, c’est de l’écologie élémentaire…</w:t>
      </w:r>
    </w:p>
    <w:bookmarkEnd w:id="3"/>
    <w:p w14:paraId="000322D1" w14:textId="77777777" w:rsidR="00886DC6" w:rsidRPr="003C4431" w:rsidRDefault="00D35CDC" w:rsidP="00886DC6">
      <w:pPr>
        <w:rPr>
          <w:b/>
          <w:sz w:val="28"/>
        </w:rPr>
      </w:pPr>
      <w:r>
        <w:rPr>
          <w:b/>
          <w:sz w:val="28"/>
        </w:rPr>
        <w:t xml:space="preserve">5 - </w:t>
      </w:r>
      <w:r w:rsidR="00886DC6" w:rsidRPr="003C4431">
        <w:rPr>
          <w:b/>
          <w:sz w:val="28"/>
        </w:rPr>
        <w:t>Circuit RLC et réglage des fréquences radio</w:t>
      </w:r>
      <w:r w:rsidR="003C4431">
        <w:rPr>
          <w:b/>
          <w:sz w:val="28"/>
        </w:rPr>
        <w:t xml:space="preserve"> et TV</w:t>
      </w:r>
    </w:p>
    <w:p w14:paraId="135B6121" w14:textId="77777777" w:rsidR="00886DC6" w:rsidRDefault="00B70FC7" w:rsidP="00886DC6">
      <w:r w:rsidRPr="00B70FC7">
        <w:t>Lorsqu’on</w:t>
      </w:r>
      <w:r>
        <w:t xml:space="preserve"> écoute la radio et que l’on veut changer de fréquence, on utilise un circuit RLC</w:t>
      </w:r>
    </w:p>
    <w:p w14:paraId="33A9E11E" w14:textId="77777777" w:rsidR="002361A5" w:rsidRDefault="002361A5" w:rsidP="00886DC6">
      <w:r>
        <w:t xml:space="preserve">Voir </w:t>
      </w:r>
      <w:hyperlink r:id="rId38" w:history="1">
        <w:r>
          <w:rPr>
            <w:rStyle w:val="Lienhypertexte"/>
          </w:rPr>
          <w:t>http://www.tangentex.com/CircuitAccord.htm</w:t>
        </w:r>
      </w:hyperlink>
    </w:p>
    <w:p w14:paraId="172E110F" w14:textId="77777777" w:rsidR="002361A5" w:rsidRDefault="002361A5" w:rsidP="002361A5">
      <w:pPr>
        <w:jc w:val="center"/>
      </w:pPr>
      <w:r>
        <w:rPr>
          <w:noProof/>
          <w:lang w:eastAsia="fr-FR"/>
        </w:rPr>
        <w:drawing>
          <wp:inline distT="0" distB="0" distL="0" distR="0" wp14:anchorId="509EAABD" wp14:editId="1750F72E">
            <wp:extent cx="2558547" cy="228770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Accord-7.png"/>
                    <pic:cNvPicPr/>
                  </pic:nvPicPr>
                  <pic:blipFill>
                    <a:blip r:embed="rId39">
                      <a:extLst>
                        <a:ext uri="{28A0092B-C50C-407E-A947-70E740481C1C}">
                          <a14:useLocalDpi xmlns:a14="http://schemas.microsoft.com/office/drawing/2010/main" val="0"/>
                        </a:ext>
                      </a:extLst>
                    </a:blip>
                    <a:stretch>
                      <a:fillRect/>
                    </a:stretch>
                  </pic:blipFill>
                  <pic:spPr>
                    <a:xfrm>
                      <a:off x="0" y="0"/>
                      <a:ext cx="2576086" cy="2303385"/>
                    </a:xfrm>
                    <a:prstGeom prst="rect">
                      <a:avLst/>
                    </a:prstGeom>
                  </pic:spPr>
                </pic:pic>
              </a:graphicData>
            </a:graphic>
          </wp:inline>
        </w:drawing>
      </w:r>
    </w:p>
    <w:p w14:paraId="5D511D6A" w14:textId="77777777" w:rsidR="002361A5" w:rsidRDefault="002361A5" w:rsidP="002361A5">
      <w:r>
        <w:lastRenderedPageBreak/>
        <w:t>U avec les indices désigne la différence de potentiel (en Volt) et on montre en électricité qu’on a l’équation différentielle suivante</w:t>
      </w:r>
    </w:p>
    <w:p w14:paraId="0BE24D1B" w14:textId="77777777" w:rsidR="002361A5" w:rsidRPr="002361A5" w:rsidRDefault="002361A5" w:rsidP="002361A5">
      <w:pPr>
        <w:rPr>
          <w:rFonts w:eastAsiaTheme="minorEastAsia"/>
        </w:rPr>
      </w:pPr>
      <m:oMathPara>
        <m:oMath>
          <m:r>
            <w:rPr>
              <w:rFonts w:ascii="Cambria Math" w:hAnsi="Cambria Math"/>
            </w:rPr>
            <m:t>L</m:t>
          </m:r>
          <m:sSub>
            <m:sSubPr>
              <m:ctrlPr>
                <w:rPr>
                  <w:rFonts w:ascii="Cambria Math" w:hAnsi="Cambria Math"/>
                  <w:i/>
                </w:rPr>
              </m:ctrlPr>
            </m:sSubPr>
            <m:e>
              <m:r>
                <w:rPr>
                  <w:rFonts w:ascii="Cambria Math" w:hAnsi="Cambria Math"/>
                </w:rPr>
                <m:t>C</m:t>
              </m:r>
            </m:e>
            <m:sub>
              <m:r>
                <w:rPr>
                  <w:rFonts w:ascii="Cambria Math" w:hAnsi="Cambria Math"/>
                </w:rPr>
                <m:t>V</m:t>
              </m:r>
            </m:sub>
          </m:sSub>
          <m:f>
            <m:fPr>
              <m:ctrlPr>
                <w:rPr>
                  <w:rFonts w:ascii="Cambria Math" w:hAnsi="Cambria Math"/>
                  <w:i/>
                </w:rPr>
              </m:ctrlPr>
            </m:fPr>
            <m:num>
              <m:r>
                <w:rPr>
                  <w:rFonts w:ascii="Cambria Math" w:hAnsi="Cambria Math"/>
                </w:rPr>
                <m:t>d²</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dt²</m:t>
              </m:r>
            </m:den>
          </m:f>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V</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=E</m:t>
          </m:r>
        </m:oMath>
      </m:oMathPara>
    </w:p>
    <w:p w14:paraId="03B4BBA9" w14:textId="77777777" w:rsidR="002361A5" w:rsidRDefault="002361A5" w:rsidP="002361A5">
      <w:pPr>
        <w:rPr>
          <w:rFonts w:eastAsiaTheme="minorEastAsia"/>
        </w:rPr>
      </w:pPr>
      <w:r>
        <w:rPr>
          <w:rFonts w:eastAsiaTheme="minorEastAsia"/>
        </w:rPr>
        <w:t xml:space="preserve">Où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Pr>
          <w:rFonts w:eastAsiaTheme="minorEastAsia"/>
        </w:rPr>
        <w:t xml:space="preserve"> désigne la capacité que l’on fait varier pour avoir sa station préférée, </w:t>
      </w:r>
      <m:oMath>
        <m:r>
          <w:rPr>
            <w:rFonts w:ascii="Cambria Math" w:hAnsi="Cambria Math"/>
          </w:rPr>
          <m:t>L</m:t>
        </m:r>
      </m:oMath>
      <w:r>
        <w:rPr>
          <w:rFonts w:eastAsiaTheme="minorEastAsia"/>
        </w:rPr>
        <w:t xml:space="preserve"> désigne l’inductance (mot barbare) du circuit</w:t>
      </w:r>
      <w:r w:rsidR="00025A96">
        <w:rPr>
          <w:rFonts w:eastAsiaTheme="minorEastAsia"/>
        </w:rPr>
        <w:t xml:space="preserve">, </w:t>
      </w:r>
      <m:oMath>
        <m:r>
          <w:rPr>
            <w:rFonts w:ascii="Cambria Math" w:hAnsi="Cambria Math"/>
          </w:rPr>
          <m:t>R</m:t>
        </m:r>
      </m:oMath>
      <w:r w:rsidR="00025A96">
        <w:rPr>
          <w:rFonts w:eastAsiaTheme="minorEastAsia"/>
        </w:rPr>
        <w:t xml:space="preserve"> la résistance du circuit et </w:t>
      </w:r>
      <m:oMath>
        <m:r>
          <w:rPr>
            <w:rFonts w:ascii="Cambria Math" w:hAnsi="Cambria Math"/>
          </w:rPr>
          <m:t>E</m:t>
        </m:r>
      </m:oMath>
      <w:r w:rsidR="00025A96">
        <w:rPr>
          <w:rFonts w:eastAsiaTheme="minorEastAsia"/>
        </w:rPr>
        <w:t xml:space="preserve"> le signal reçu.</w:t>
      </w:r>
    </w:p>
    <w:p w14:paraId="478FF45F" w14:textId="77777777" w:rsidR="00025A96" w:rsidRDefault="002F04AA" w:rsidP="002361A5">
      <w:pPr>
        <w:rPr>
          <w:rFonts w:eastAsiaTheme="minorEastAsia"/>
        </w:rPr>
      </w:pPr>
      <w:r>
        <w:rPr>
          <w:rFonts w:eastAsiaTheme="minorEastAsia"/>
        </w:rPr>
        <w:t>L’accord sur la fréquence utilise le phénomène de résonance, la même chose que lorsque l’on pousse son petit enfant sur une balançoire….</w:t>
      </w:r>
    </w:p>
    <w:p w14:paraId="789EC044" w14:textId="77777777" w:rsidR="00025A96" w:rsidRDefault="00DA19DF" w:rsidP="002361A5">
      <w:hyperlink r:id="rId40" w:history="1">
        <w:r w:rsidR="00025A96">
          <w:rPr>
            <w:rStyle w:val="Lienhypertexte"/>
          </w:rPr>
          <w:t>https://fr.wikipedia.org/wiki/Circuit_RLC</w:t>
        </w:r>
      </w:hyperlink>
    </w:p>
    <w:p w14:paraId="7D42F626" w14:textId="77777777" w:rsidR="002F04AA" w:rsidRDefault="002F04AA" w:rsidP="002361A5">
      <w:proofErr w:type="gramStart"/>
      <w:r>
        <w:t>que</w:t>
      </w:r>
      <w:proofErr w:type="gramEnd"/>
      <w:r>
        <w:t xml:space="preserve"> l’on peut visualiser sur un graphique :</w:t>
      </w:r>
    </w:p>
    <w:p w14:paraId="0CE9FCFB" w14:textId="77777777" w:rsidR="002F04AA" w:rsidRDefault="007C476C" w:rsidP="002F04AA">
      <w:pPr>
        <w:jc w:val="center"/>
        <w:rPr>
          <w:rFonts w:eastAsiaTheme="minorEastAsia"/>
        </w:rPr>
      </w:pPr>
      <w:r>
        <w:rPr>
          <w:rFonts w:eastAsiaTheme="minorEastAsia"/>
          <w:noProof/>
          <w:lang w:eastAsia="fr-FR"/>
        </w:rPr>
        <w:drawing>
          <wp:inline distT="0" distB="0" distL="0" distR="0" wp14:anchorId="5E2AF0B9" wp14:editId="3061C7B1">
            <wp:extent cx="3958758" cy="2848630"/>
            <wp:effectExtent l="0" t="0" r="381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nnance RL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58758" cy="2848630"/>
                    </a:xfrm>
                    <a:prstGeom prst="rect">
                      <a:avLst/>
                    </a:prstGeom>
                  </pic:spPr>
                </pic:pic>
              </a:graphicData>
            </a:graphic>
          </wp:inline>
        </w:drawing>
      </w:r>
    </w:p>
    <w:p w14:paraId="079ACF53" w14:textId="77777777" w:rsidR="00D35CDC" w:rsidRPr="003C4431" w:rsidRDefault="00D35CDC" w:rsidP="00D35CDC">
      <w:pPr>
        <w:rPr>
          <w:b/>
          <w:sz w:val="28"/>
        </w:rPr>
      </w:pPr>
      <w:r>
        <w:rPr>
          <w:b/>
          <w:sz w:val="28"/>
        </w:rPr>
        <w:t xml:space="preserve">6 - </w:t>
      </w:r>
      <w:r w:rsidRPr="003C4431">
        <w:rPr>
          <w:b/>
          <w:sz w:val="28"/>
        </w:rPr>
        <w:t>Optimisation</w:t>
      </w:r>
    </w:p>
    <w:p w14:paraId="59106816" w14:textId="77777777" w:rsidR="00D35CDC" w:rsidRPr="00EE0C6A" w:rsidRDefault="00D35CDC" w:rsidP="00D35CDC">
      <w:r w:rsidRPr="00EE0C6A">
        <w:t>Le transport optimal</w:t>
      </w:r>
    </w:p>
    <w:p w14:paraId="6575F206" w14:textId="77777777" w:rsidR="00D35CDC" w:rsidRDefault="00DA19DF" w:rsidP="00D35CDC">
      <w:pPr>
        <w:rPr>
          <w:rStyle w:val="Lienhypertexte"/>
        </w:rPr>
      </w:pPr>
      <w:hyperlink r:id="rId42" w:history="1">
        <w:r w:rsidR="00D35CDC">
          <w:rPr>
            <w:rStyle w:val="Lienhypertexte"/>
          </w:rPr>
          <w:t>http://images.math.cnrs.fr/pdf2004/Villani.pdf</w:t>
        </w:r>
      </w:hyperlink>
    </w:p>
    <w:p w14:paraId="78D2CECE" w14:textId="77777777" w:rsidR="00D35CDC" w:rsidRPr="002361A5" w:rsidRDefault="00D35CDC" w:rsidP="00D35CDC">
      <w:pPr>
        <w:rPr>
          <w:rFonts w:eastAsiaTheme="minorEastAsia"/>
        </w:rPr>
      </w:pPr>
      <w:r>
        <w:rPr>
          <w:rStyle w:val="Lienhypertexte"/>
          <w:color w:val="000000" w:themeColor="text1"/>
          <w:u w:val="none"/>
        </w:rPr>
        <w:t>Comme je pense qu’il n’y a pas de transporteur parmi vous, je vais faire l’impasse (c’est l’une des marottes de notre Cédric national).</w:t>
      </w:r>
    </w:p>
    <w:p w14:paraId="4A54B3FD" w14:textId="1F9378AD" w:rsidR="002361A5" w:rsidRDefault="00A50E0C" w:rsidP="002361A5">
      <w:pPr>
        <w:rPr>
          <w:b/>
          <w:bCs/>
          <w:sz w:val="28"/>
          <w:szCs w:val="28"/>
        </w:rPr>
      </w:pPr>
      <w:r w:rsidRPr="00A50E0C">
        <w:rPr>
          <w:b/>
          <w:bCs/>
          <w:sz w:val="28"/>
          <w:szCs w:val="28"/>
        </w:rPr>
        <w:t xml:space="preserve">7 </w:t>
      </w:r>
      <w:r w:rsidRPr="00A50E0C">
        <w:rPr>
          <w:b/>
          <w:sz w:val="32"/>
          <w:szCs w:val="24"/>
        </w:rPr>
        <w:t>-</w:t>
      </w:r>
      <w:r w:rsidRPr="00A50E0C">
        <w:rPr>
          <w:b/>
          <w:bCs/>
          <w:sz w:val="28"/>
          <w:szCs w:val="28"/>
        </w:rPr>
        <w:t xml:space="preserve"> Modélisation d’une pandémie</w:t>
      </w:r>
    </w:p>
    <w:p w14:paraId="7789583D" w14:textId="25404277" w:rsidR="00697243" w:rsidRPr="00697243" w:rsidRDefault="00697243" w:rsidP="002361A5">
      <w:hyperlink r:id="rId43" w:history="1">
        <w:r w:rsidRPr="00697243">
          <w:rPr>
            <w:rStyle w:val="Lienhypertexte"/>
            <w:rFonts w:ascii="Times New Roman" w:eastAsia="Times New Roman" w:hAnsi="Times New Roman" w:cs="Times New Roman"/>
            <w:kern w:val="36"/>
            <w:lang w:eastAsia="fr-FR"/>
          </w:rPr>
          <w:t>https://interstices.info/mo</w:t>
        </w:r>
        <w:r w:rsidRPr="00697243">
          <w:rPr>
            <w:rStyle w:val="Lienhypertexte"/>
            <w:rFonts w:eastAsia="Times New Roman" w:cstheme="minorHAnsi"/>
            <w:kern w:val="36"/>
            <w:lang w:eastAsia="fr-FR"/>
          </w:rPr>
          <w:t>deliser-la-propagation-dune-epidemie</w:t>
        </w:r>
        <w:r w:rsidRPr="00697243">
          <w:rPr>
            <w:rStyle w:val="Lienhypertexte"/>
            <w:rFonts w:ascii="Times New Roman" w:eastAsia="Times New Roman" w:hAnsi="Times New Roman" w:cs="Times New Roman"/>
            <w:kern w:val="36"/>
            <w:lang w:eastAsia="fr-FR"/>
          </w:rPr>
          <w:t>/</w:t>
        </w:r>
      </w:hyperlink>
      <w:r w:rsidRPr="00697243">
        <w:rPr>
          <w:rFonts w:ascii="Arial" w:eastAsia="Times New Roman" w:hAnsi="Arial" w:cs="Arial"/>
          <w:color w:val="697180"/>
          <w:sz w:val="20"/>
          <w:szCs w:val="20"/>
          <w:lang w:eastAsia="fr-FR"/>
        </w:rPr>
        <w:t> </w:t>
      </w:r>
    </w:p>
    <w:p w14:paraId="3AAC42A5" w14:textId="77777777"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 xml:space="preserve">Le modèle de base est appelé </w:t>
      </w:r>
      <w:r w:rsidRPr="00CD2B38">
        <w:rPr>
          <w:rFonts w:eastAsia="Times New Roman" w:cstheme="minorHAnsi"/>
          <w:i/>
          <w:iCs/>
          <w:lang w:eastAsia="fr-FR"/>
        </w:rPr>
        <w:t>SIR</w:t>
      </w:r>
      <w:r w:rsidRPr="00CD2B38">
        <w:rPr>
          <w:rFonts w:eastAsia="Times New Roman" w:cstheme="minorHAnsi"/>
          <w:lang w:eastAsia="fr-FR"/>
        </w:rPr>
        <w:t xml:space="preserve">, où </w:t>
      </w:r>
      <w:r w:rsidRPr="00CD2B38">
        <w:rPr>
          <w:rFonts w:eastAsia="Times New Roman" w:cstheme="minorHAnsi"/>
          <w:i/>
          <w:iCs/>
          <w:lang w:eastAsia="fr-FR"/>
        </w:rPr>
        <w:t>S</w:t>
      </w:r>
      <w:r w:rsidRPr="00CD2B38">
        <w:rPr>
          <w:rFonts w:eastAsia="Times New Roman" w:cstheme="minorHAnsi"/>
          <w:lang w:eastAsia="fr-FR"/>
        </w:rPr>
        <w:t xml:space="preserve"> désigne, au sein de la population concernée, les individus Sains (ou Susceptibles d’être infectés), </w:t>
      </w:r>
      <w:r w:rsidRPr="00CD2B38">
        <w:rPr>
          <w:rFonts w:eastAsia="Times New Roman" w:cstheme="minorHAnsi"/>
          <w:i/>
          <w:iCs/>
          <w:lang w:eastAsia="fr-FR"/>
        </w:rPr>
        <w:t>I</w:t>
      </w:r>
      <w:r w:rsidRPr="00CD2B38">
        <w:rPr>
          <w:rFonts w:eastAsia="Times New Roman" w:cstheme="minorHAnsi"/>
          <w:lang w:eastAsia="fr-FR"/>
        </w:rPr>
        <w:t xml:space="preserve"> désigne ceux qui sont Infectés et </w:t>
      </w:r>
      <w:r w:rsidRPr="00CD2B38">
        <w:rPr>
          <w:rFonts w:eastAsia="Times New Roman" w:cstheme="minorHAnsi"/>
          <w:i/>
          <w:iCs/>
          <w:lang w:eastAsia="fr-FR"/>
        </w:rPr>
        <w:t>R</w:t>
      </w:r>
      <w:r w:rsidRPr="00CD2B38">
        <w:rPr>
          <w:rFonts w:eastAsia="Times New Roman" w:cstheme="minorHAnsi"/>
          <w:lang w:eastAsia="fr-FR"/>
        </w:rPr>
        <w:t xml:space="preserve"> ceux qui sont Rétablis (</w:t>
      </w:r>
      <w:proofErr w:type="spellStart"/>
      <w:r w:rsidRPr="00CD2B38">
        <w:rPr>
          <w:rFonts w:eastAsia="Times New Roman" w:cstheme="minorHAnsi"/>
          <w:i/>
          <w:iCs/>
          <w:lang w:eastAsia="fr-FR"/>
        </w:rPr>
        <w:t>Recovered</w:t>
      </w:r>
      <w:proofErr w:type="spellEnd"/>
      <w:r w:rsidRPr="00CD2B38">
        <w:rPr>
          <w:rFonts w:eastAsia="Times New Roman" w:cstheme="minorHAnsi"/>
          <w:lang w:eastAsia="fr-FR"/>
        </w:rPr>
        <w:t xml:space="preserve"> en anglais) et ne peuvent plus être infectés, sous l’hypothèse, liée à ce premier modèle, qu’un individu guéri est définitivement immunisé. L’effectif de chacune de ces populations est évidemment variable dans le temps, modélisable de ce fait par une fonction de la variable </w:t>
      </w:r>
      <w:r w:rsidRPr="00CD2B38">
        <w:rPr>
          <w:rFonts w:eastAsia="Times New Roman" w:cstheme="minorHAnsi"/>
          <w:lang w:eastAsia="fr-FR"/>
        </w:rPr>
        <w:lastRenderedPageBreak/>
        <w:t xml:space="preserve">indépendante t, le temps : </w:t>
      </w:r>
      <w:r w:rsidRPr="00CD2B38">
        <w:rPr>
          <w:rFonts w:eastAsia="Times New Roman" w:cstheme="minorHAnsi"/>
          <w:i/>
          <w:iCs/>
          <w:lang w:eastAsia="fr-FR"/>
        </w:rPr>
        <w:t>S(t)</w:t>
      </w:r>
      <w:r w:rsidRPr="00CD2B38">
        <w:rPr>
          <w:rFonts w:eastAsia="Times New Roman" w:cstheme="minorHAnsi"/>
          <w:lang w:eastAsia="fr-FR"/>
        </w:rPr>
        <w:t xml:space="preserve">, </w:t>
      </w:r>
      <w:r w:rsidRPr="00CD2B38">
        <w:rPr>
          <w:rFonts w:eastAsia="Times New Roman" w:cstheme="minorHAnsi"/>
          <w:i/>
          <w:iCs/>
          <w:lang w:eastAsia="fr-FR"/>
        </w:rPr>
        <w:t>I(t)</w:t>
      </w:r>
      <w:r w:rsidRPr="00CD2B38">
        <w:rPr>
          <w:rFonts w:eastAsia="Times New Roman" w:cstheme="minorHAnsi"/>
          <w:lang w:eastAsia="fr-FR"/>
        </w:rPr>
        <w:t xml:space="preserve"> et </w:t>
      </w:r>
      <w:r w:rsidRPr="00CD2B38">
        <w:rPr>
          <w:rFonts w:eastAsia="Times New Roman" w:cstheme="minorHAnsi"/>
          <w:i/>
          <w:iCs/>
          <w:lang w:eastAsia="fr-FR"/>
        </w:rPr>
        <w:t>R(t)</w:t>
      </w:r>
      <w:r w:rsidRPr="00CD2B38">
        <w:rPr>
          <w:rFonts w:eastAsia="Times New Roman" w:cstheme="minorHAnsi"/>
          <w:lang w:eastAsia="fr-FR"/>
        </w:rPr>
        <w:t xml:space="preserve">. Si, au cours de la propagation de l’épidémie, l’effectif </w:t>
      </w:r>
      <w:r w:rsidRPr="00CD2B38">
        <w:rPr>
          <w:rFonts w:eastAsia="Times New Roman" w:cstheme="minorHAnsi"/>
          <w:i/>
          <w:iCs/>
          <w:lang w:eastAsia="fr-FR"/>
        </w:rPr>
        <w:t>P</w:t>
      </w:r>
      <w:r w:rsidRPr="00CD2B38">
        <w:rPr>
          <w:rFonts w:eastAsia="Times New Roman" w:cstheme="minorHAnsi"/>
          <w:lang w:eastAsia="fr-FR"/>
        </w:rPr>
        <w:t xml:space="preserve"> de la population totale peut être considéré constant, on écrit :</w:t>
      </w:r>
    </w:p>
    <w:p w14:paraId="7D8580AA" w14:textId="77777777" w:rsidR="00697243" w:rsidRPr="00CD2B38" w:rsidRDefault="00697243" w:rsidP="00697243">
      <w:pPr>
        <w:shd w:val="clear" w:color="auto" w:fill="FFFFFF"/>
        <w:spacing w:after="300" w:line="240" w:lineRule="auto"/>
        <w:jc w:val="center"/>
        <w:rPr>
          <w:rFonts w:eastAsia="Times New Roman" w:cstheme="minorHAnsi"/>
          <w:i/>
          <w:iCs/>
          <w:lang w:eastAsia="fr-FR"/>
        </w:rPr>
      </w:pPr>
      <w:r w:rsidRPr="00CD2B38">
        <w:rPr>
          <w:rFonts w:eastAsia="Times New Roman" w:cstheme="minorHAnsi"/>
          <w:i/>
          <w:iCs/>
          <w:lang w:eastAsia="fr-FR"/>
        </w:rPr>
        <w:t>S(t) + I(t) + R(t) = P</w:t>
      </w:r>
    </w:p>
    <w:p w14:paraId="05A5F9F7" w14:textId="77777777"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Ce système peut être représenté graphiquement par un ensemble de trois compartiments connectés par des flux d’individus qui passent de l’un à l’autre :</w:t>
      </w:r>
    </w:p>
    <w:p w14:paraId="4B73241D" w14:textId="77777777"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 xml:space="preserve">Une analogie peut être faite avec des réservoirs d’eau entre lesquels s’écoulent des flux. La valeur d’une variable d’état est la hauteur d’eau du réservoir correspondant. </w:t>
      </w:r>
    </w:p>
    <w:p w14:paraId="1B3D4CE5" w14:textId="77777777" w:rsidR="00697243" w:rsidRPr="00CD2B38" w:rsidRDefault="00697243" w:rsidP="00697243">
      <w:pPr>
        <w:shd w:val="clear" w:color="auto" w:fill="FFFFFF"/>
        <w:spacing w:after="300" w:line="240" w:lineRule="auto"/>
        <w:jc w:val="center"/>
        <w:rPr>
          <w:rFonts w:eastAsia="Times New Roman" w:cstheme="minorHAnsi"/>
          <w:lang w:eastAsia="fr-FR"/>
        </w:rPr>
      </w:pPr>
      <w:r w:rsidRPr="00697243">
        <w:rPr>
          <w:rFonts w:cstheme="minorHAnsi"/>
          <w:noProof/>
          <w:sz w:val="20"/>
          <w:szCs w:val="20"/>
        </w:rPr>
        <w:drawing>
          <wp:inline distT="0" distB="0" distL="0" distR="0" wp14:anchorId="26EC0509" wp14:editId="4789F9D8">
            <wp:extent cx="5295900" cy="1191578"/>
            <wp:effectExtent l="0" t="0" r="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6005" cy="1193852"/>
                    </a:xfrm>
                    <a:prstGeom prst="rect">
                      <a:avLst/>
                    </a:prstGeom>
                    <a:noFill/>
                    <a:ln>
                      <a:noFill/>
                    </a:ln>
                  </pic:spPr>
                </pic:pic>
              </a:graphicData>
            </a:graphic>
          </wp:inline>
        </w:drawing>
      </w:r>
      <w:r w:rsidRPr="00697243">
        <w:rPr>
          <w:rFonts w:cstheme="minorHAnsi"/>
          <w:b/>
          <w:bCs/>
          <w:color w:val="FFFFFF"/>
          <w:sz w:val="20"/>
          <w:szCs w:val="20"/>
        </w:rPr>
        <w:t xml:space="preserve"> </w:t>
      </w:r>
      <w:proofErr w:type="gramStart"/>
      <w:r w:rsidRPr="00697243">
        <w:rPr>
          <w:rFonts w:cstheme="minorHAnsi"/>
          <w:b/>
          <w:bCs/>
          <w:color w:val="FFFFFF"/>
          <w:sz w:val="20"/>
          <w:szCs w:val="20"/>
        </w:rPr>
        <w:t>le</w:t>
      </w:r>
      <w:proofErr w:type="gramEnd"/>
      <w:r w:rsidRPr="00697243">
        <w:rPr>
          <w:rFonts w:cstheme="minorHAnsi"/>
          <w:b/>
          <w:bCs/>
          <w:color w:val="FFFFFF"/>
          <w:sz w:val="20"/>
          <w:szCs w:val="20"/>
        </w:rPr>
        <w:t xml:space="preserve"> mo</w:t>
      </w:r>
      <w:r w:rsidRPr="00697243">
        <w:rPr>
          <w:rFonts w:cstheme="minorHAnsi"/>
          <w:b/>
          <w:bCs/>
          <w:color w:val="FFFFFF"/>
          <w:sz w:val="20"/>
          <w:szCs w:val="20"/>
        </w:rPr>
        <w:br/>
      </w:r>
      <w:r w:rsidRPr="00CD2B38">
        <w:rPr>
          <w:rFonts w:eastAsia="Times New Roman" w:cstheme="minorHAnsi"/>
          <w:lang w:eastAsia="fr-FR"/>
        </w:rPr>
        <w:t xml:space="preserve">Diagramme des flux d’individus dans le modèle </w:t>
      </w:r>
      <w:r w:rsidRPr="00CD2B38">
        <w:rPr>
          <w:rFonts w:eastAsia="Times New Roman" w:cstheme="minorHAnsi"/>
          <w:i/>
          <w:iCs/>
          <w:lang w:eastAsia="fr-FR"/>
        </w:rPr>
        <w:t>SIR</w:t>
      </w:r>
      <w:r w:rsidRPr="00CD2B38">
        <w:rPr>
          <w:rFonts w:eastAsia="Times New Roman" w:cstheme="minorHAnsi"/>
          <w:lang w:eastAsia="fr-FR"/>
        </w:rPr>
        <w:t>.</w:t>
      </w:r>
      <w:r w:rsidRPr="00CD2B38">
        <w:rPr>
          <w:rFonts w:eastAsia="Times New Roman" w:cstheme="minorHAnsi"/>
          <w:lang w:eastAsia="fr-FR"/>
        </w:rPr>
        <w:br/>
        <w:t>Les valeurs des flux entre les réservoirs sont fonction des hauteurs d’eau, qui elles-mêmes varient sous l’effet de ces flux.</w:t>
      </w:r>
    </w:p>
    <w:p w14:paraId="19BBB74C" w14:textId="09B0A08B"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L’épidémie se propage par les contacts entre les individus infectés et les individus sains. Le nombre de ces contacts est proportionnel à S et à I, effectifs respectifs des populations d’individus sains et infectés. Les malades guérissent en moyenne au bout d’un temps λ ; ils sont alors immunisés et ne peuvent plus, ni infecter d’autres personnes, ni être réinfectés.</w:t>
      </w:r>
      <w:r w:rsidRPr="00CD2B38">
        <w:rPr>
          <w:rFonts w:eastAsia="Times New Roman" w:cstheme="minorHAnsi"/>
          <w:lang w:eastAsia="fr-FR"/>
        </w:rPr>
        <w:br/>
        <w:t xml:space="preserve">À chaque compartiment est associée une variable d’état : </w:t>
      </w:r>
      <w:r w:rsidRPr="00CD2B38">
        <w:rPr>
          <w:rFonts w:eastAsia="Times New Roman" w:cstheme="minorHAnsi"/>
          <w:i/>
          <w:iCs/>
          <w:lang w:eastAsia="fr-FR"/>
        </w:rPr>
        <w:t>S</w:t>
      </w:r>
      <w:r w:rsidRPr="00CD2B38">
        <w:rPr>
          <w:rFonts w:eastAsia="Times New Roman" w:cstheme="minorHAnsi"/>
          <w:lang w:eastAsia="fr-FR"/>
        </w:rPr>
        <w:t xml:space="preserve">, </w:t>
      </w:r>
      <w:r w:rsidRPr="00CD2B38">
        <w:rPr>
          <w:rFonts w:eastAsia="Times New Roman" w:cstheme="minorHAnsi"/>
          <w:i/>
          <w:iCs/>
          <w:lang w:eastAsia="fr-FR"/>
        </w:rPr>
        <w:t>I</w:t>
      </w:r>
      <w:r w:rsidRPr="00CD2B38">
        <w:rPr>
          <w:rFonts w:eastAsia="Times New Roman" w:cstheme="minorHAnsi"/>
          <w:lang w:eastAsia="fr-FR"/>
        </w:rPr>
        <w:t xml:space="preserve"> et </w:t>
      </w:r>
      <w:r w:rsidRPr="00CD2B38">
        <w:rPr>
          <w:rFonts w:eastAsia="Times New Roman" w:cstheme="minorHAnsi"/>
          <w:i/>
          <w:iCs/>
          <w:lang w:eastAsia="fr-FR"/>
        </w:rPr>
        <w:t>R</w:t>
      </w:r>
      <w:r w:rsidRPr="00CD2B38">
        <w:rPr>
          <w:rFonts w:eastAsia="Times New Roman" w:cstheme="minorHAnsi"/>
          <w:lang w:eastAsia="fr-FR"/>
        </w:rPr>
        <w:t xml:space="preserve">. Il s’agit maintenant d’écrire un système d’équations différentielles qui relie la dérivée des fonctions, </w:t>
      </w:r>
      <w:proofErr w:type="spellStart"/>
      <w:r w:rsidRPr="00CD2B38">
        <w:rPr>
          <w:rFonts w:eastAsia="Times New Roman" w:cstheme="minorHAnsi"/>
          <w:i/>
          <w:iCs/>
          <w:lang w:eastAsia="fr-FR"/>
        </w:rPr>
        <w:t>dS</w:t>
      </w:r>
      <w:proofErr w:type="spellEnd"/>
      <w:r w:rsidRPr="00CD2B38">
        <w:rPr>
          <w:rFonts w:eastAsia="Times New Roman" w:cstheme="minorHAnsi"/>
          <w:i/>
          <w:iCs/>
          <w:lang w:eastAsia="fr-FR"/>
        </w:rPr>
        <w:t>(t)/</w:t>
      </w:r>
      <w:proofErr w:type="spellStart"/>
      <w:r w:rsidRPr="00CD2B38">
        <w:rPr>
          <w:rFonts w:eastAsia="Times New Roman" w:cstheme="minorHAnsi"/>
          <w:i/>
          <w:iCs/>
          <w:lang w:eastAsia="fr-FR"/>
        </w:rPr>
        <w:t>dt</w:t>
      </w:r>
      <w:proofErr w:type="spellEnd"/>
      <w:r w:rsidRPr="00CD2B38">
        <w:rPr>
          <w:rFonts w:eastAsia="Times New Roman" w:cstheme="minorHAnsi"/>
          <w:lang w:eastAsia="fr-FR"/>
        </w:rPr>
        <w:t xml:space="preserve">, </w:t>
      </w:r>
      <w:proofErr w:type="spellStart"/>
      <w:r w:rsidRPr="00CD2B38">
        <w:rPr>
          <w:rFonts w:eastAsia="Times New Roman" w:cstheme="minorHAnsi"/>
          <w:i/>
          <w:iCs/>
          <w:lang w:eastAsia="fr-FR"/>
        </w:rPr>
        <w:t>dI</w:t>
      </w:r>
      <w:proofErr w:type="spellEnd"/>
      <w:r w:rsidRPr="00CD2B38">
        <w:rPr>
          <w:rFonts w:eastAsia="Times New Roman" w:cstheme="minorHAnsi"/>
          <w:i/>
          <w:iCs/>
          <w:lang w:eastAsia="fr-FR"/>
        </w:rPr>
        <w:t>(t)/</w:t>
      </w:r>
      <w:proofErr w:type="spellStart"/>
      <w:r w:rsidRPr="00CD2B38">
        <w:rPr>
          <w:rFonts w:eastAsia="Times New Roman" w:cstheme="minorHAnsi"/>
          <w:i/>
          <w:iCs/>
          <w:lang w:eastAsia="fr-FR"/>
        </w:rPr>
        <w:t>dt</w:t>
      </w:r>
      <w:proofErr w:type="spellEnd"/>
      <w:r w:rsidRPr="00CD2B38">
        <w:rPr>
          <w:rFonts w:eastAsia="Times New Roman" w:cstheme="minorHAnsi"/>
          <w:lang w:eastAsia="fr-FR"/>
        </w:rPr>
        <w:t xml:space="preserve"> et </w:t>
      </w:r>
      <w:proofErr w:type="spellStart"/>
      <w:r w:rsidRPr="00CD2B38">
        <w:rPr>
          <w:rFonts w:eastAsia="Times New Roman" w:cstheme="minorHAnsi"/>
          <w:i/>
          <w:iCs/>
          <w:lang w:eastAsia="fr-FR"/>
        </w:rPr>
        <w:t>dR</w:t>
      </w:r>
      <w:proofErr w:type="spellEnd"/>
      <w:r w:rsidRPr="00CD2B38">
        <w:rPr>
          <w:rFonts w:eastAsia="Times New Roman" w:cstheme="minorHAnsi"/>
          <w:i/>
          <w:iCs/>
          <w:lang w:eastAsia="fr-FR"/>
        </w:rPr>
        <w:t>(t)/</w:t>
      </w:r>
      <w:proofErr w:type="spellStart"/>
      <w:r w:rsidRPr="00CD2B38">
        <w:rPr>
          <w:rFonts w:eastAsia="Times New Roman" w:cstheme="minorHAnsi"/>
          <w:i/>
          <w:iCs/>
          <w:lang w:eastAsia="fr-FR"/>
        </w:rPr>
        <w:t>dt</w:t>
      </w:r>
      <w:proofErr w:type="spellEnd"/>
      <w:r w:rsidRPr="00CD2B38">
        <w:rPr>
          <w:rFonts w:eastAsia="Times New Roman" w:cstheme="minorHAnsi"/>
          <w:lang w:eastAsia="fr-FR"/>
        </w:rPr>
        <w:t xml:space="preserve">, aux fonctions elles-mêmes, </w:t>
      </w:r>
      <w:r w:rsidRPr="00CD2B38">
        <w:rPr>
          <w:rFonts w:eastAsia="Times New Roman" w:cstheme="minorHAnsi"/>
          <w:i/>
          <w:iCs/>
          <w:lang w:eastAsia="fr-FR"/>
        </w:rPr>
        <w:t>S(t),</w:t>
      </w:r>
      <w:r w:rsidRPr="00CD2B38">
        <w:rPr>
          <w:rFonts w:eastAsia="Times New Roman" w:cstheme="minorHAnsi"/>
          <w:lang w:eastAsia="fr-FR"/>
        </w:rPr>
        <w:t xml:space="preserve"> </w:t>
      </w:r>
      <w:r w:rsidRPr="00CD2B38">
        <w:rPr>
          <w:rFonts w:eastAsia="Times New Roman" w:cstheme="minorHAnsi"/>
          <w:i/>
          <w:iCs/>
          <w:lang w:eastAsia="fr-FR"/>
        </w:rPr>
        <w:t>I(t)</w:t>
      </w:r>
      <w:r w:rsidRPr="00CD2B38">
        <w:rPr>
          <w:rFonts w:eastAsia="Times New Roman" w:cstheme="minorHAnsi"/>
          <w:lang w:eastAsia="fr-FR"/>
        </w:rPr>
        <w:t xml:space="preserve"> et </w:t>
      </w:r>
      <w:r w:rsidRPr="00CD2B38">
        <w:rPr>
          <w:rFonts w:eastAsia="Times New Roman" w:cstheme="minorHAnsi"/>
          <w:i/>
          <w:iCs/>
          <w:lang w:eastAsia="fr-FR"/>
        </w:rPr>
        <w:t>R(t).</w:t>
      </w:r>
      <w:r w:rsidRPr="00CD2B38">
        <w:rPr>
          <w:rFonts w:eastAsia="Times New Roman" w:cstheme="minorHAnsi"/>
          <w:lang w:eastAsia="fr-FR"/>
        </w:rPr>
        <w:t xml:space="preserve"> Les valeurs de </w:t>
      </w:r>
      <w:r w:rsidRPr="00CD2B38">
        <w:rPr>
          <w:rFonts w:eastAsia="Times New Roman" w:cstheme="minorHAnsi"/>
          <w:i/>
          <w:iCs/>
          <w:lang w:eastAsia="fr-FR"/>
        </w:rPr>
        <w:t>S</w:t>
      </w:r>
      <w:r w:rsidRPr="00CD2B38">
        <w:rPr>
          <w:rFonts w:eastAsia="Times New Roman" w:cstheme="minorHAnsi"/>
          <w:lang w:eastAsia="fr-FR"/>
        </w:rPr>
        <w:t xml:space="preserve">, </w:t>
      </w:r>
      <w:r w:rsidRPr="00CD2B38">
        <w:rPr>
          <w:rFonts w:eastAsia="Times New Roman" w:cstheme="minorHAnsi"/>
          <w:i/>
          <w:iCs/>
          <w:lang w:eastAsia="fr-FR"/>
        </w:rPr>
        <w:t>I</w:t>
      </w:r>
      <w:r w:rsidRPr="00CD2B38">
        <w:rPr>
          <w:rFonts w:eastAsia="Times New Roman" w:cstheme="minorHAnsi"/>
          <w:lang w:eastAsia="fr-FR"/>
        </w:rPr>
        <w:t xml:space="preserve"> et </w:t>
      </w:r>
      <w:r w:rsidRPr="00CD2B38">
        <w:rPr>
          <w:rFonts w:eastAsia="Times New Roman" w:cstheme="minorHAnsi"/>
          <w:i/>
          <w:iCs/>
          <w:lang w:eastAsia="fr-FR"/>
        </w:rPr>
        <w:t>R</w:t>
      </w:r>
      <w:r w:rsidRPr="00CD2B38">
        <w:rPr>
          <w:rFonts w:eastAsia="Times New Roman" w:cstheme="minorHAnsi"/>
          <w:lang w:eastAsia="fr-FR"/>
        </w:rPr>
        <w:t xml:space="preserve"> sont toujours positives et sans dimension. L’écriture de ce système différentiel s’inspire des formulations mathématiques de l’exemple du petit écosystème </w:t>
      </w:r>
      <w:hyperlink r:id="rId45" w:tgtFrame="_blank" w:history="1">
        <w:r w:rsidRPr="00CD2B38">
          <w:rPr>
            <w:rFonts w:eastAsia="Times New Roman" w:cstheme="minorHAnsi"/>
            <w:b/>
            <w:bCs/>
            <w:lang w:eastAsia="fr-FR"/>
          </w:rPr>
          <w:t>étudié précédemment</w:t>
        </w:r>
      </w:hyperlink>
      <w:r w:rsidRPr="00CD2B38">
        <w:rPr>
          <w:rFonts w:eastAsia="Times New Roman" w:cstheme="minorHAnsi"/>
          <w:lang w:eastAsia="fr-FR"/>
        </w:rPr>
        <w:t>, l’interaction de deux populations, de prédateurs et de proies.</w:t>
      </w:r>
    </w:p>
    <w:p w14:paraId="5173AABC" w14:textId="344BC8D2"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 xml:space="preserve">La propagation de l’épidémie résulte des contacts contaminants entre les personnes infectées et les personnes saines. De façon similaire à la prédation dans le modèle </w:t>
      </w:r>
      <w:r w:rsidR="008B18A3">
        <w:rPr>
          <w:rFonts w:eastAsia="Times New Roman" w:cstheme="minorHAnsi"/>
          <w:lang w:eastAsia="fr-FR"/>
        </w:rPr>
        <w:t>brebis</w:t>
      </w:r>
      <w:r w:rsidRPr="00CD2B38">
        <w:rPr>
          <w:rFonts w:eastAsia="Times New Roman" w:cstheme="minorHAnsi"/>
          <w:lang w:eastAsia="fr-FR"/>
        </w:rPr>
        <w:t xml:space="preserve"> – l</w:t>
      </w:r>
      <w:r w:rsidR="008B18A3">
        <w:rPr>
          <w:rFonts w:eastAsia="Times New Roman" w:cstheme="minorHAnsi"/>
          <w:lang w:eastAsia="fr-FR"/>
        </w:rPr>
        <w:t>oup</w:t>
      </w:r>
      <w:r w:rsidRPr="00CD2B38">
        <w:rPr>
          <w:rFonts w:eastAsia="Times New Roman" w:cstheme="minorHAnsi"/>
          <w:lang w:eastAsia="fr-FR"/>
        </w:rPr>
        <w:t xml:space="preserve">, l’effectif des infectés s’accroît en fonction du nombre de contacts contaminants entre les individus infectés et les individus sains. Ce nombre est proportionnel à l’effectif de la population infectée et à l’effectif de la population saine, et donc au produit de ces deux effectifs </w:t>
      </w:r>
      <w:r w:rsidRPr="00CD2B38">
        <w:rPr>
          <w:rFonts w:eastAsia="Times New Roman" w:cstheme="minorHAnsi"/>
          <w:i/>
          <w:iCs/>
          <w:lang w:eastAsia="fr-FR"/>
        </w:rPr>
        <w:t>I S</w:t>
      </w:r>
      <w:r w:rsidRPr="00CD2B38">
        <w:rPr>
          <w:rFonts w:eastAsia="Times New Roman" w:cstheme="minorHAnsi"/>
          <w:lang w:eastAsia="fr-FR"/>
        </w:rPr>
        <w:t>.</w:t>
      </w:r>
    </w:p>
    <w:p w14:paraId="5D69DD1D" w14:textId="77777777"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On peut donc écrire :</w:t>
      </w:r>
    </w:p>
    <w:p w14:paraId="4154942D" w14:textId="77777777" w:rsidR="00697243" w:rsidRPr="00CD2B38" w:rsidRDefault="00697243" w:rsidP="00697243">
      <w:pPr>
        <w:shd w:val="clear" w:color="auto" w:fill="FFFFFF"/>
        <w:spacing w:after="300" w:line="240" w:lineRule="auto"/>
        <w:rPr>
          <w:rFonts w:eastAsia="Times New Roman" w:cstheme="minorHAnsi"/>
          <w:lang w:eastAsia="fr-FR"/>
        </w:rPr>
      </w:pPr>
      <m:oMathPara>
        <m:oMath>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I</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=βIS</m:t>
          </m:r>
        </m:oMath>
      </m:oMathPara>
    </w:p>
    <w:p w14:paraId="64C558BD" w14:textId="5A63E1C6" w:rsidR="00697243" w:rsidRPr="00CD2B38" w:rsidRDefault="00697243" w:rsidP="00697243">
      <w:pPr>
        <w:shd w:val="clear" w:color="auto" w:fill="FFFFFF"/>
        <w:spacing w:after="300" w:line="240" w:lineRule="auto"/>
        <w:rPr>
          <w:rFonts w:eastAsia="Times New Roman" w:cstheme="minorHAnsi"/>
          <w:lang w:eastAsia="fr-FR"/>
        </w:rPr>
      </w:pPr>
      <m:oMath>
        <m:r>
          <w:rPr>
            <w:rFonts w:ascii="Cambria Math" w:eastAsia="Times New Roman" w:hAnsi="Cambria Math" w:cstheme="minorHAnsi"/>
            <w:lang w:eastAsia="fr-FR"/>
          </w:rPr>
          <m:t>β</m:t>
        </m:r>
      </m:oMath>
      <w:r w:rsidRPr="00CD2B38">
        <w:rPr>
          <w:rFonts w:eastAsia="Times New Roman" w:cstheme="minorHAnsi"/>
          <w:i/>
          <w:iCs/>
          <w:lang w:eastAsia="fr-FR"/>
        </w:rPr>
        <w:t xml:space="preserve"> I S</w:t>
      </w:r>
      <w:r w:rsidRPr="00CD2B38">
        <w:rPr>
          <w:rFonts w:eastAsia="Times New Roman" w:cstheme="minorHAnsi"/>
          <w:lang w:eastAsia="fr-FR"/>
        </w:rPr>
        <w:t xml:space="preserve"> est la mesure instantanée (comptée en individus par unité de temps) du flux, qui varie dans le temps, des individus qui passent du compartiment « Sains » au compartiment « Infectés ». Le paramètre </w:t>
      </w:r>
      <m:oMath>
        <m:r>
          <w:rPr>
            <w:rFonts w:ascii="Cambria Math" w:eastAsia="Times New Roman" w:hAnsi="Cambria Math" w:cstheme="minorHAnsi"/>
            <w:lang w:eastAsia="fr-FR"/>
          </w:rPr>
          <m:t>β</m:t>
        </m:r>
      </m:oMath>
      <w:r w:rsidRPr="00CD2B38">
        <w:rPr>
          <w:rFonts w:eastAsia="Times New Roman" w:cstheme="minorHAnsi"/>
          <w:lang w:eastAsia="fr-FR"/>
        </w:rPr>
        <w:t xml:space="preserve"> &gt; 0, appelé taux d’incidence, pourrait s’écrire sous la forme d’un produit de deux paramètres. La valeur du premier rend compte de la proportion des contacts effectifs entre une personne saine et une personne infectée, parmi tous ceux possibles pendant un intervalle de temps </w:t>
      </w:r>
      <w:proofErr w:type="spellStart"/>
      <w:r w:rsidRPr="00CD2B38">
        <w:rPr>
          <w:rFonts w:eastAsia="Times New Roman" w:cstheme="minorHAnsi"/>
          <w:i/>
          <w:iCs/>
          <w:lang w:eastAsia="fr-FR"/>
        </w:rPr>
        <w:t>dt</w:t>
      </w:r>
      <w:proofErr w:type="spellEnd"/>
      <w:r w:rsidRPr="00CD2B38">
        <w:rPr>
          <w:rFonts w:eastAsia="Times New Roman" w:cstheme="minorHAnsi"/>
          <w:lang w:eastAsia="fr-FR"/>
        </w:rPr>
        <w:t xml:space="preserve">, soit </w:t>
      </w:r>
      <w:r w:rsidRPr="00CD2B38">
        <w:rPr>
          <w:rFonts w:eastAsia="Times New Roman" w:cstheme="minorHAnsi"/>
          <w:i/>
          <w:iCs/>
          <w:lang w:eastAsia="fr-FR"/>
        </w:rPr>
        <w:t>I(t) S(t)</w:t>
      </w:r>
      <w:r w:rsidRPr="00CD2B38">
        <w:rPr>
          <w:rFonts w:eastAsia="Times New Roman" w:cstheme="minorHAnsi"/>
          <w:lang w:eastAsia="fr-FR"/>
        </w:rPr>
        <w:t xml:space="preserve"> (ce paramètre est relié à la densité de population, par exemple). La valeur du second </w:t>
      </w:r>
      <w:r w:rsidRPr="00CD2B38">
        <w:rPr>
          <w:rFonts w:eastAsia="Times New Roman" w:cstheme="minorHAnsi"/>
          <w:lang w:eastAsia="fr-FR"/>
        </w:rPr>
        <w:lastRenderedPageBreak/>
        <w:t>paramètre rend compte de la probabilité qu’un tel contact transmette la maladie de la personne infectée à la personne saine (probabilité dépendante de la virulence de l’agent infectieux).</w:t>
      </w:r>
    </w:p>
    <w:p w14:paraId="01EA3510" w14:textId="77777777"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L’effectif de la population saine diminue symétriquement :</w:t>
      </w:r>
    </w:p>
    <w:p w14:paraId="11025798" w14:textId="77777777" w:rsidR="00697243" w:rsidRPr="00CD2B38" w:rsidRDefault="00697243" w:rsidP="00697243">
      <w:pPr>
        <w:shd w:val="clear" w:color="auto" w:fill="FFFFFF"/>
        <w:spacing w:after="300" w:line="240" w:lineRule="auto"/>
        <w:rPr>
          <w:rFonts w:eastAsia="Times New Roman" w:cstheme="minorHAnsi"/>
          <w:lang w:eastAsia="fr-FR"/>
        </w:rPr>
      </w:pPr>
      <m:oMathPara>
        <m:oMath>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S</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=-βIS</m:t>
          </m:r>
        </m:oMath>
      </m:oMathPara>
    </w:p>
    <w:p w14:paraId="21E71F37" w14:textId="77777777"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 xml:space="preserve">Si un individu reste en moyenne malade </w:t>
      </w:r>
      <w:r w:rsidRPr="00CD2B38">
        <w:rPr>
          <w:rFonts w:eastAsia="Times New Roman" w:cstheme="minorHAnsi"/>
          <w:i/>
          <w:iCs/>
          <w:lang w:eastAsia="fr-FR"/>
        </w:rPr>
        <w:t>λ</w:t>
      </w:r>
      <w:r w:rsidRPr="00CD2B38">
        <w:rPr>
          <w:rFonts w:eastAsia="Times New Roman" w:cstheme="minorHAnsi"/>
          <w:lang w:eastAsia="fr-FR"/>
        </w:rPr>
        <w:t xml:space="preserve"> jours, </w:t>
      </w:r>
      <w:r w:rsidRPr="00CD2B38">
        <w:rPr>
          <w:rFonts w:eastAsia="Times New Roman" w:cstheme="minorHAnsi"/>
          <w:i/>
          <w:iCs/>
          <w:lang w:eastAsia="fr-FR"/>
        </w:rPr>
        <w:t>I / λ</w:t>
      </w:r>
      <w:r w:rsidRPr="00CD2B38">
        <w:rPr>
          <w:rFonts w:eastAsia="Times New Roman" w:cstheme="minorHAnsi"/>
          <w:lang w:eastAsia="fr-FR"/>
        </w:rPr>
        <w:t xml:space="preserve"> est, à tout instant, la mesure du flux d’individus qui guérissent, quittent donc le compartiment « Infectés », viennent s’accumuler dans le compartiment « Rétablis » et ne peuvent plus être contaminés, car immunisés. </w:t>
      </w:r>
      <w:r w:rsidRPr="00CD2B38">
        <w:rPr>
          <w:rFonts w:eastAsia="Times New Roman" w:cstheme="minorHAnsi"/>
          <w:i/>
          <w:iCs/>
          <w:lang w:eastAsia="fr-FR"/>
        </w:rPr>
        <w:t>I / λ</w:t>
      </w:r>
      <w:r w:rsidRPr="00CD2B38">
        <w:rPr>
          <w:rFonts w:eastAsia="Times New Roman" w:cstheme="minorHAnsi"/>
          <w:lang w:eastAsia="fr-FR"/>
        </w:rPr>
        <w:t xml:space="preserve"> a pour dimension [temps</w:t>
      </w:r>
      <w:r w:rsidRPr="00CD2B38">
        <w:rPr>
          <w:rFonts w:eastAsia="Times New Roman" w:cstheme="minorHAnsi"/>
          <w:sz w:val="16"/>
          <w:szCs w:val="16"/>
          <w:vertAlign w:val="superscript"/>
          <w:lang w:eastAsia="fr-FR"/>
        </w:rPr>
        <w:t>-1</w:t>
      </w:r>
      <w:r w:rsidRPr="00CD2B38">
        <w:rPr>
          <w:rFonts w:eastAsia="Times New Roman" w:cstheme="minorHAnsi"/>
          <w:lang w:eastAsia="fr-FR"/>
        </w:rPr>
        <w:t>] ; ici son unité est jour</w:t>
      </w:r>
      <w:r w:rsidRPr="00CD2B38">
        <w:rPr>
          <w:rFonts w:eastAsia="Times New Roman" w:cstheme="minorHAnsi"/>
          <w:sz w:val="16"/>
          <w:szCs w:val="16"/>
          <w:vertAlign w:val="superscript"/>
          <w:lang w:eastAsia="fr-FR"/>
        </w:rPr>
        <w:t>-1</w:t>
      </w:r>
      <w:r w:rsidRPr="00CD2B38">
        <w:rPr>
          <w:rFonts w:eastAsia="Times New Roman" w:cstheme="minorHAnsi"/>
          <w:lang w:eastAsia="fr-FR"/>
        </w:rPr>
        <w:t>. L’équation différentielle qui régit l’évolution de l’effectif des infectés s’écrit :</w:t>
      </w:r>
    </w:p>
    <w:p w14:paraId="3AA545EA" w14:textId="77777777" w:rsidR="00697243" w:rsidRPr="00CD2B38" w:rsidRDefault="00697243" w:rsidP="00697243">
      <w:pPr>
        <w:shd w:val="clear" w:color="auto" w:fill="FFFFFF"/>
        <w:spacing w:after="300" w:line="240" w:lineRule="auto"/>
        <w:jc w:val="center"/>
        <w:rPr>
          <w:rFonts w:eastAsia="Times New Roman" w:cstheme="minorHAnsi"/>
          <w:lang w:eastAsia="fr-FR"/>
        </w:rPr>
      </w:pPr>
      <m:oMathPara>
        <m:oMath>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I</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=βIS-</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I</m:t>
              </m:r>
            </m:num>
            <m:den>
              <m:r>
                <w:rPr>
                  <w:rFonts w:ascii="Cambria Math" w:eastAsia="Times New Roman" w:hAnsi="Cambria Math" w:cstheme="minorHAnsi"/>
                  <w:lang w:eastAsia="fr-FR"/>
                </w:rPr>
                <m:t>λ</m:t>
              </m:r>
            </m:den>
          </m:f>
        </m:oMath>
      </m:oMathPara>
    </w:p>
    <w:p w14:paraId="7178000A" w14:textId="7CDDA60F"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i/>
          <w:iCs/>
          <w:lang w:eastAsia="fr-FR"/>
        </w:rPr>
        <w:t>I / λ</w:t>
      </w:r>
      <w:r w:rsidRPr="00CD2B38">
        <w:rPr>
          <w:rFonts w:eastAsia="Times New Roman" w:cstheme="minorHAnsi"/>
          <w:lang w:eastAsia="fr-FR"/>
        </w:rPr>
        <w:t xml:space="preserve"> est la valeur instantanée du flux entre « Infectés » et « Rétablis ». L’effectif des rétablis s’accroît ainsi symétriquement du même flux de valeur I / λ des personnes guéries :</w:t>
      </w:r>
    </w:p>
    <w:p w14:paraId="23A67E44" w14:textId="77777777" w:rsidR="00697243" w:rsidRPr="00CD2B38" w:rsidRDefault="00697243" w:rsidP="00697243">
      <w:pPr>
        <w:shd w:val="clear" w:color="auto" w:fill="FFFFFF"/>
        <w:spacing w:after="300" w:line="240" w:lineRule="auto"/>
        <w:jc w:val="center"/>
        <w:rPr>
          <w:rFonts w:eastAsia="Times New Roman" w:cstheme="minorHAnsi"/>
          <w:lang w:eastAsia="fr-FR"/>
        </w:rPr>
      </w:pPr>
      <m:oMathPara>
        <m:oMath>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R</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I</m:t>
              </m:r>
            </m:num>
            <m:den>
              <m:r>
                <w:rPr>
                  <w:rFonts w:ascii="Cambria Math" w:eastAsia="Times New Roman" w:hAnsi="Cambria Math" w:cstheme="minorHAnsi"/>
                  <w:lang w:eastAsia="fr-FR"/>
                </w:rPr>
                <m:t>λ</m:t>
              </m:r>
            </m:den>
          </m:f>
        </m:oMath>
      </m:oMathPara>
    </w:p>
    <w:p w14:paraId="4546A948" w14:textId="77777777"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Le modèle s’écrit donc :</w:t>
      </w:r>
    </w:p>
    <w:p w14:paraId="42D8F9EF" w14:textId="77777777" w:rsidR="00697243" w:rsidRPr="00CD2B38" w:rsidRDefault="00697243" w:rsidP="00697243">
      <w:pPr>
        <w:shd w:val="clear" w:color="auto" w:fill="FFFFFF"/>
        <w:spacing w:after="300" w:line="240" w:lineRule="auto"/>
        <w:jc w:val="center"/>
        <w:rPr>
          <w:rFonts w:eastAsia="Times New Roman" w:cstheme="minorHAnsi"/>
          <w:lang w:eastAsia="fr-FR"/>
        </w:rPr>
      </w:pPr>
      <m:oMathPara>
        <m:oMath>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S</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 xml:space="preserve">=-βIS,  </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I</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=βIS-</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I</m:t>
              </m:r>
            </m:num>
            <m:den>
              <m:r>
                <w:rPr>
                  <w:rFonts w:ascii="Cambria Math" w:eastAsia="Times New Roman" w:hAnsi="Cambria Math" w:cstheme="minorHAnsi"/>
                  <w:lang w:eastAsia="fr-FR"/>
                </w:rPr>
                <m:t>λ</m:t>
              </m:r>
            </m:den>
          </m:f>
          <m:r>
            <w:rPr>
              <w:rFonts w:ascii="Cambria Math" w:eastAsia="Times New Roman" w:hAnsi="Cambria Math" w:cstheme="minorHAnsi"/>
              <w:lang w:eastAsia="fr-FR"/>
            </w:rPr>
            <m:t xml:space="preserve">,  </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R</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I</m:t>
              </m:r>
            </m:num>
            <m:den>
              <m:r>
                <w:rPr>
                  <w:rFonts w:ascii="Cambria Math" w:eastAsia="Times New Roman" w:hAnsi="Cambria Math" w:cstheme="minorHAnsi"/>
                  <w:lang w:eastAsia="fr-FR"/>
                </w:rPr>
                <m:t>λ</m:t>
              </m:r>
            </m:den>
          </m:f>
          <m:r>
            <w:rPr>
              <w:rFonts w:ascii="Cambria Math" w:eastAsia="Times New Roman" w:hAnsi="Cambria Math" w:cstheme="minorHAnsi"/>
              <w:lang w:eastAsia="fr-FR"/>
            </w:rPr>
            <m:t>,</m:t>
          </m:r>
        </m:oMath>
      </m:oMathPara>
    </w:p>
    <w:p w14:paraId="18F92A4E" w14:textId="77777777" w:rsidR="00697243" w:rsidRPr="00CD2B38" w:rsidRDefault="00697243" w:rsidP="00697243">
      <w:pPr>
        <w:shd w:val="clear" w:color="auto" w:fill="FFFFFF"/>
        <w:spacing w:after="300" w:line="240" w:lineRule="auto"/>
        <w:rPr>
          <w:rFonts w:eastAsia="Times New Roman" w:cstheme="minorHAnsi"/>
          <w:lang w:eastAsia="fr-FR"/>
        </w:rPr>
      </w:pPr>
      <w:r w:rsidRPr="00CD2B38">
        <w:rPr>
          <w:rFonts w:eastAsia="Times New Roman" w:cstheme="minorHAnsi"/>
          <w:lang w:eastAsia="fr-FR"/>
        </w:rPr>
        <w:t>En additionnant ces trois équations membre à membre, on obtient</w:t>
      </w:r>
    </w:p>
    <w:p w14:paraId="29D8BC11" w14:textId="77777777" w:rsidR="00697243" w:rsidRPr="00CD2B38" w:rsidRDefault="00697243" w:rsidP="00697243">
      <w:pPr>
        <w:shd w:val="clear" w:color="auto" w:fill="FFFFFF"/>
        <w:spacing w:after="300" w:line="240" w:lineRule="auto"/>
        <w:rPr>
          <w:rFonts w:eastAsia="Times New Roman" w:cstheme="minorHAnsi"/>
          <w:lang w:eastAsia="fr-FR"/>
        </w:rPr>
      </w:pPr>
      <m:oMathPara>
        <m:oMath>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S</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I</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R</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=-βIS+βIS-</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I</m:t>
              </m:r>
            </m:num>
            <m:den>
              <m:r>
                <w:rPr>
                  <w:rFonts w:ascii="Cambria Math" w:eastAsia="Times New Roman" w:hAnsi="Cambria Math" w:cstheme="minorHAnsi"/>
                  <w:lang w:eastAsia="fr-FR"/>
                </w:rPr>
                <m:t>λ</m:t>
              </m:r>
            </m:den>
          </m:f>
          <m:r>
            <w:rPr>
              <w:rFonts w:ascii="Cambria Math" w:eastAsia="Times New Roman" w:hAnsi="Cambria Math" w:cstheme="minorHAnsi"/>
              <w:lang w:eastAsia="fr-FR"/>
            </w:rPr>
            <m:t>+</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I</m:t>
              </m:r>
            </m:num>
            <m:den>
              <m:r>
                <w:rPr>
                  <w:rFonts w:ascii="Cambria Math" w:eastAsia="Times New Roman" w:hAnsi="Cambria Math" w:cstheme="minorHAnsi"/>
                  <w:lang w:eastAsia="fr-FR"/>
                </w:rPr>
                <m:t>λ</m:t>
              </m:r>
            </m:den>
          </m:f>
          <m:r>
            <w:rPr>
              <w:rFonts w:ascii="Cambria Math" w:eastAsia="Times New Roman" w:hAnsi="Cambria Math" w:cstheme="minorHAnsi"/>
              <w:lang w:eastAsia="fr-FR"/>
            </w:rPr>
            <m:t>=0</m:t>
          </m:r>
        </m:oMath>
      </m:oMathPara>
    </w:p>
    <w:p w14:paraId="7AB3A7D2" w14:textId="77777777" w:rsidR="00697243" w:rsidRPr="00CD2B38" w:rsidRDefault="00697243" w:rsidP="00697243">
      <w:pPr>
        <w:shd w:val="clear" w:color="auto" w:fill="FFFFFF"/>
        <w:spacing w:after="300" w:line="240" w:lineRule="auto"/>
        <w:rPr>
          <w:rFonts w:eastAsia="Times New Roman" w:cstheme="minorHAnsi"/>
          <w:lang w:eastAsia="fr-FR"/>
        </w:rPr>
      </w:pPr>
      <w:proofErr w:type="gramStart"/>
      <w:r w:rsidRPr="00CD2B38">
        <w:rPr>
          <w:rFonts w:eastAsia="Times New Roman" w:cstheme="minorHAnsi"/>
          <w:lang w:eastAsia="fr-FR"/>
        </w:rPr>
        <w:t>ce</w:t>
      </w:r>
      <w:proofErr w:type="gramEnd"/>
      <w:r w:rsidRPr="00CD2B38">
        <w:rPr>
          <w:rFonts w:eastAsia="Times New Roman" w:cstheme="minorHAnsi"/>
          <w:lang w:eastAsia="fr-FR"/>
        </w:rPr>
        <w:t xml:space="preserve"> qui est conforme au fait que l’effectif de la population </w:t>
      </w:r>
      <w:r w:rsidRPr="00CD2B38">
        <w:rPr>
          <w:rFonts w:eastAsia="Times New Roman" w:cstheme="minorHAnsi"/>
          <w:i/>
          <w:iCs/>
          <w:lang w:eastAsia="fr-FR"/>
        </w:rPr>
        <w:t>P</w:t>
      </w:r>
      <w:r w:rsidRPr="00CD2B38">
        <w:rPr>
          <w:rFonts w:eastAsia="Times New Roman" w:cstheme="minorHAnsi"/>
          <w:lang w:eastAsia="fr-FR"/>
        </w:rPr>
        <w:t xml:space="preserve"> est constant, donc de dérivée nulle :</w:t>
      </w:r>
    </w:p>
    <w:p w14:paraId="593A26B6" w14:textId="5E387560" w:rsidR="00697243" w:rsidRPr="00CD2B38" w:rsidRDefault="00697243" w:rsidP="00697243">
      <w:pPr>
        <w:shd w:val="clear" w:color="auto" w:fill="FFFFFF"/>
        <w:spacing w:after="300" w:line="240" w:lineRule="auto"/>
        <w:rPr>
          <w:rFonts w:eastAsia="Times New Roman" w:cstheme="minorHAnsi"/>
          <w:lang w:eastAsia="fr-FR"/>
        </w:rPr>
      </w:pPr>
      <m:oMathPara>
        <m:oMath>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S</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I</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R</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(S+I+R)</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m:t>
          </m:r>
          <m:f>
            <m:fPr>
              <m:ctrlPr>
                <w:rPr>
                  <w:rFonts w:ascii="Cambria Math" w:eastAsia="Times New Roman" w:hAnsi="Cambria Math" w:cstheme="minorHAnsi"/>
                  <w:i/>
                  <w:lang w:eastAsia="fr-FR"/>
                </w:rPr>
              </m:ctrlPr>
            </m:fPr>
            <m:num>
              <m:r>
                <w:rPr>
                  <w:rFonts w:ascii="Cambria Math" w:eastAsia="Times New Roman" w:hAnsi="Cambria Math" w:cstheme="minorHAnsi"/>
                  <w:lang w:eastAsia="fr-FR"/>
                </w:rPr>
                <m:t>d P</m:t>
              </m:r>
            </m:num>
            <m:den>
              <m:r>
                <w:rPr>
                  <w:rFonts w:ascii="Cambria Math" w:eastAsia="Times New Roman" w:hAnsi="Cambria Math" w:cstheme="minorHAnsi"/>
                  <w:lang w:eastAsia="fr-FR"/>
                </w:rPr>
                <m:t>d t</m:t>
              </m:r>
            </m:den>
          </m:f>
          <m:r>
            <w:rPr>
              <w:rFonts w:ascii="Cambria Math" w:eastAsia="Times New Roman" w:hAnsi="Cambria Math" w:cstheme="minorHAnsi"/>
              <w:lang w:eastAsia="fr-FR"/>
            </w:rPr>
            <m:t>=0</m:t>
          </m:r>
        </m:oMath>
      </m:oMathPara>
    </w:p>
    <w:p w14:paraId="36FBBB51" w14:textId="65C3D0E0" w:rsidR="00697243" w:rsidRPr="00697243" w:rsidRDefault="00697243" w:rsidP="00697243">
      <w:pPr>
        <w:shd w:val="clear" w:color="auto" w:fill="FFFFFF"/>
        <w:spacing w:after="300" w:line="240" w:lineRule="auto"/>
        <w:rPr>
          <w:rFonts w:eastAsia="Times New Roman" w:cstheme="minorHAnsi"/>
          <w:b/>
          <w:bCs/>
          <w:color w:val="697180"/>
          <w:sz w:val="24"/>
          <w:szCs w:val="24"/>
          <w:lang w:eastAsia="fr-FR"/>
        </w:rPr>
      </w:pPr>
      <w:r w:rsidRPr="00697243">
        <w:rPr>
          <w:rFonts w:eastAsia="Times New Roman" w:cstheme="minorHAnsi"/>
          <w:b/>
          <w:bCs/>
          <w:color w:val="697180"/>
          <w:sz w:val="24"/>
          <w:szCs w:val="24"/>
          <w:lang w:eastAsia="fr-FR"/>
        </w:rPr>
        <w:t>Simulation du modèle</w:t>
      </w:r>
    </w:p>
    <w:p w14:paraId="3EC639DC" w14:textId="243106FB" w:rsidR="00A50E0C" w:rsidRPr="00697243" w:rsidRDefault="00697243" w:rsidP="00697243">
      <w:pPr>
        <w:jc w:val="center"/>
        <w:rPr>
          <w:rFonts w:cstheme="minorHAnsi"/>
          <w:b/>
          <w:bCs/>
          <w:sz w:val="24"/>
          <w:szCs w:val="24"/>
        </w:rPr>
      </w:pPr>
      <w:r>
        <w:rPr>
          <w:rFonts w:ascii="Arial" w:eastAsia="Times New Roman" w:hAnsi="Arial" w:cs="Arial"/>
          <w:noProof/>
          <w:color w:val="697180"/>
          <w:sz w:val="24"/>
          <w:szCs w:val="24"/>
          <w:lang w:eastAsia="fr-FR"/>
        </w:rPr>
        <w:drawing>
          <wp:inline distT="0" distB="0" distL="0" distR="0" wp14:anchorId="07E58A5A" wp14:editId="460FE5B5">
            <wp:extent cx="3005699" cy="1886114"/>
            <wp:effectExtent l="0" t="0" r="444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13233" cy="1890841"/>
                    </a:xfrm>
                    <a:prstGeom prst="rect">
                      <a:avLst/>
                    </a:prstGeom>
                  </pic:spPr>
                </pic:pic>
              </a:graphicData>
            </a:graphic>
          </wp:inline>
        </w:drawing>
      </w:r>
    </w:p>
    <w:p w14:paraId="5CAD77F4" w14:textId="77777777" w:rsidR="00CD2B38" w:rsidRPr="00CD2B38" w:rsidRDefault="00697243" w:rsidP="00CD2B38">
      <w:pPr>
        <w:shd w:val="clear" w:color="auto" w:fill="FFFFFF"/>
        <w:spacing w:after="300" w:line="240" w:lineRule="auto"/>
        <w:rPr>
          <w:rFonts w:eastAsia="Times New Roman" w:cstheme="minorHAnsi"/>
          <w:lang w:eastAsia="fr-FR"/>
        </w:rPr>
      </w:pPr>
      <w:r w:rsidRPr="00CD2B38">
        <w:rPr>
          <w:rFonts w:eastAsia="Times New Roman" w:cstheme="minorHAnsi"/>
          <w:lang w:eastAsia="fr-FR"/>
        </w:rPr>
        <w:lastRenderedPageBreak/>
        <w:t>Ce modèle est en effet particulièrement simple, car il véhicule de très nombreuses hypothèses simplificatrices : pas de mortalité, qu’elle soit liée ou non à la maladie, brassage uniforme de la population, etc.</w:t>
      </w:r>
    </w:p>
    <w:p w14:paraId="316F8BE4" w14:textId="6BC0C0B3" w:rsidR="00CD2B38" w:rsidRPr="00CD2B38" w:rsidRDefault="00CD2B38" w:rsidP="00CD2B38">
      <w:pPr>
        <w:shd w:val="clear" w:color="auto" w:fill="FFFFFF"/>
        <w:spacing w:after="300" w:line="240" w:lineRule="auto"/>
        <w:rPr>
          <w:rFonts w:eastAsia="Times New Roman" w:cstheme="minorHAnsi"/>
          <w:lang w:eastAsia="fr-FR"/>
        </w:rPr>
      </w:pPr>
      <w:r w:rsidRPr="00CD2B38">
        <w:rPr>
          <w:rFonts w:eastAsia="Times New Roman" w:cstheme="minorHAnsi"/>
          <w:lang w:eastAsia="fr-FR"/>
        </w:rPr>
        <w:t xml:space="preserve">Mais il est possible de relâcher certaines de ces hypothèses, en les remplaçant par d’autres, moins simplificatrices, et de modifier le modèle en conséquence. Ainsi, un terme </w:t>
      </w:r>
      <w:r w:rsidRPr="00CD2B38">
        <w:rPr>
          <w:rFonts w:eastAsia="Times New Roman" w:cstheme="minorHAnsi"/>
          <w:i/>
          <w:iCs/>
          <w:lang w:eastAsia="fr-FR"/>
        </w:rPr>
        <w:t>– μ I</w:t>
      </w:r>
      <w:r w:rsidRPr="00CD2B38">
        <w:rPr>
          <w:rFonts w:eastAsia="Times New Roman" w:cstheme="minorHAnsi"/>
          <w:lang w:eastAsia="fr-FR"/>
        </w:rPr>
        <w:t xml:space="preserve"> permet de prendre en compte la mortalité liée à la maladie, notée </w:t>
      </w:r>
      <w:r w:rsidRPr="00CD2B38">
        <w:rPr>
          <w:rFonts w:eastAsia="Times New Roman" w:cstheme="minorHAnsi"/>
          <w:i/>
          <w:iCs/>
          <w:lang w:eastAsia="fr-FR"/>
        </w:rPr>
        <w:t>μ,</w:t>
      </w:r>
      <w:r w:rsidRPr="00CD2B38">
        <w:rPr>
          <w:rFonts w:eastAsia="Times New Roman" w:cstheme="minorHAnsi"/>
          <w:lang w:eastAsia="fr-FR"/>
        </w:rPr>
        <w:t xml:space="preserve"> dans l’équation différentielle qui régit l’évolution de l’effectif des infectés :</w:t>
      </w:r>
    </w:p>
    <w:p w14:paraId="1F56811F" w14:textId="77777777" w:rsidR="00CD2B38" w:rsidRPr="00CD2B38" w:rsidRDefault="00CD2B38" w:rsidP="00CD2B38">
      <w:pPr>
        <w:shd w:val="clear" w:color="auto" w:fill="FFFFFF"/>
        <w:spacing w:after="300" w:line="240" w:lineRule="auto"/>
        <w:jc w:val="center"/>
        <w:rPr>
          <w:rFonts w:eastAsia="Times New Roman" w:cstheme="minorHAnsi"/>
          <w:lang w:val="en-US" w:eastAsia="fr-FR"/>
        </w:rPr>
      </w:pPr>
      <m:oMathPara>
        <m:oMath>
          <m:f>
            <m:fPr>
              <m:ctrlPr>
                <w:rPr>
                  <w:rFonts w:ascii="Cambria Math" w:eastAsia="Times New Roman" w:hAnsi="Cambria Math" w:cstheme="minorHAnsi"/>
                  <w:i/>
                  <w:lang w:val="en-US" w:eastAsia="fr-FR"/>
                </w:rPr>
              </m:ctrlPr>
            </m:fPr>
            <m:num>
              <m:r>
                <w:rPr>
                  <w:rFonts w:ascii="Cambria Math" w:eastAsia="Times New Roman" w:hAnsi="Cambria Math" w:cstheme="minorHAnsi"/>
                  <w:lang w:val="en-US" w:eastAsia="fr-FR"/>
                </w:rPr>
                <m:t>d I</m:t>
              </m:r>
            </m:num>
            <m:den>
              <m:r>
                <w:rPr>
                  <w:rFonts w:ascii="Cambria Math" w:eastAsia="Times New Roman" w:hAnsi="Cambria Math" w:cstheme="minorHAnsi"/>
                  <w:lang w:val="en-US" w:eastAsia="fr-FR"/>
                </w:rPr>
                <m:t>d t</m:t>
              </m:r>
            </m:den>
          </m:f>
          <m:r>
            <w:rPr>
              <w:rFonts w:ascii="Cambria Math" w:eastAsia="Times New Roman" w:hAnsi="Cambria Math" w:cstheme="minorHAnsi"/>
              <w:lang w:val="en-US" w:eastAsia="fr-FR"/>
            </w:rPr>
            <m:t>=</m:t>
          </m:r>
          <m:r>
            <m:rPr>
              <m:sty m:val="p"/>
            </m:rPr>
            <w:rPr>
              <w:rFonts w:ascii="Cambria Math" w:eastAsia="Times New Roman" w:hAnsi="Cambria Math" w:cstheme="minorHAnsi"/>
              <w:lang w:eastAsia="fr-FR"/>
            </w:rPr>
            <m:t xml:space="preserve">β </m:t>
          </m:r>
          <m:r>
            <w:rPr>
              <w:rFonts w:ascii="Cambria Math" w:eastAsia="Times New Roman" w:hAnsi="Cambria Math" w:cstheme="minorHAnsi"/>
              <w:lang w:val="en-US" w:eastAsia="fr-FR"/>
            </w:rPr>
            <m:t>I</m:t>
          </m:r>
          <m:r>
            <m:rPr>
              <m:sty m:val="p"/>
            </m:rPr>
            <w:rPr>
              <w:rFonts w:ascii="Cambria Math" w:eastAsia="Times New Roman" w:hAnsi="Cambria Math" w:cstheme="minorHAnsi"/>
              <w:lang w:eastAsia="fr-FR"/>
            </w:rPr>
            <m:t xml:space="preserve"> S-</m:t>
          </m:r>
          <m:f>
            <m:fPr>
              <m:ctrlPr>
                <w:rPr>
                  <w:rFonts w:ascii="Cambria Math" w:eastAsia="Times New Roman" w:hAnsi="Cambria Math" w:cstheme="minorHAnsi"/>
                  <w:lang w:eastAsia="fr-FR"/>
                </w:rPr>
              </m:ctrlPr>
            </m:fPr>
            <m:num>
              <m:r>
                <w:rPr>
                  <w:rFonts w:ascii="Cambria Math" w:eastAsia="Times New Roman" w:hAnsi="Cambria Math" w:cstheme="minorHAnsi"/>
                  <w:lang w:eastAsia="fr-FR"/>
                </w:rPr>
                <m:t>I</m:t>
              </m:r>
            </m:num>
            <m:den>
              <m:r>
                <w:rPr>
                  <w:rFonts w:ascii="Cambria Math" w:eastAsia="Times New Roman" w:hAnsi="Cambria Math" w:cstheme="minorHAnsi"/>
                  <w:lang w:eastAsia="fr-FR"/>
                </w:rPr>
                <m:t>λ</m:t>
              </m:r>
            </m:den>
          </m:f>
          <m:r>
            <w:rPr>
              <w:rFonts w:ascii="Cambria Math" w:eastAsia="Times New Roman" w:hAnsi="Cambria Math" w:cstheme="minorHAnsi"/>
              <w:lang w:val="en-US" w:eastAsia="fr-FR"/>
            </w:rPr>
            <m:t>-μI</m:t>
          </m:r>
        </m:oMath>
      </m:oMathPara>
    </w:p>
    <w:p w14:paraId="7EB64485" w14:textId="44832BEC" w:rsidR="00CD2B38" w:rsidRPr="00CD2B38" w:rsidRDefault="00CD2B38" w:rsidP="00CD2B38">
      <w:pPr>
        <w:shd w:val="clear" w:color="auto" w:fill="FFFFFF"/>
        <w:spacing w:after="300" w:line="240" w:lineRule="auto"/>
        <w:rPr>
          <w:rFonts w:eastAsia="Times New Roman" w:cstheme="minorHAnsi"/>
          <w:lang w:eastAsia="fr-FR"/>
        </w:rPr>
      </w:pPr>
      <w:proofErr w:type="gramStart"/>
      <w:r w:rsidRPr="00CD2B38">
        <w:rPr>
          <w:rFonts w:eastAsia="Times New Roman" w:cstheme="minorHAnsi"/>
          <w:i/>
          <w:iCs/>
          <w:lang w:eastAsia="fr-FR"/>
        </w:rPr>
        <w:t>μ</w:t>
      </w:r>
      <w:proofErr w:type="gramEnd"/>
      <w:r w:rsidRPr="00CD2B38">
        <w:rPr>
          <w:rFonts w:eastAsia="Times New Roman" w:cstheme="minorHAnsi"/>
          <w:i/>
          <w:iCs/>
          <w:lang w:eastAsia="fr-FR"/>
        </w:rPr>
        <w:t xml:space="preserve"> &gt; 0</w:t>
      </w:r>
      <w:r w:rsidRPr="00CD2B38">
        <w:rPr>
          <w:rFonts w:eastAsia="Times New Roman" w:cstheme="minorHAnsi"/>
          <w:lang w:eastAsia="fr-FR"/>
        </w:rPr>
        <w:t xml:space="preserve"> est un paramètre dont la valeur est proportionnelle à la virulence de l’agent contaminant.</w:t>
      </w:r>
      <w:r w:rsidRPr="00CD2B38">
        <w:rPr>
          <w:rFonts w:eastAsia="Times New Roman" w:cstheme="minorHAnsi"/>
          <w:lang w:eastAsia="fr-FR"/>
        </w:rPr>
        <w:br/>
      </w:r>
    </w:p>
    <w:p w14:paraId="7738CD94" w14:textId="5933A698" w:rsidR="00CD2B38" w:rsidRPr="00CD2B38" w:rsidRDefault="00CD2B38" w:rsidP="00CD2B38">
      <w:pPr>
        <w:shd w:val="clear" w:color="auto" w:fill="FFFFFF"/>
        <w:spacing w:after="300" w:line="240" w:lineRule="auto"/>
        <w:jc w:val="center"/>
        <w:rPr>
          <w:rFonts w:eastAsia="Times New Roman" w:cstheme="minorHAnsi"/>
          <w:color w:val="697180"/>
          <w:lang w:eastAsia="fr-FR"/>
        </w:rPr>
      </w:pPr>
      <w:r>
        <w:rPr>
          <w:rFonts w:ascii="Arial" w:eastAsia="Times New Roman" w:hAnsi="Arial" w:cs="Arial"/>
          <w:noProof/>
          <w:color w:val="697180"/>
          <w:sz w:val="24"/>
          <w:szCs w:val="24"/>
          <w:lang w:eastAsia="fr-FR"/>
        </w:rPr>
        <w:drawing>
          <wp:inline distT="0" distB="0" distL="0" distR="0" wp14:anchorId="2D8AEA90" wp14:editId="74080C68">
            <wp:extent cx="2845346" cy="223751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030" cy="2264786"/>
                    </a:xfrm>
                    <a:prstGeom prst="rect">
                      <a:avLst/>
                    </a:prstGeom>
                  </pic:spPr>
                </pic:pic>
              </a:graphicData>
            </a:graphic>
          </wp:inline>
        </w:drawing>
      </w:r>
    </w:p>
    <w:p w14:paraId="79D85A7A" w14:textId="77777777" w:rsidR="00CD2B38" w:rsidRPr="00CD2B38" w:rsidRDefault="00CD2B38" w:rsidP="00CD2B38">
      <w:pPr>
        <w:shd w:val="clear" w:color="auto" w:fill="FFFFFF"/>
        <w:spacing w:after="300" w:line="240" w:lineRule="auto"/>
        <w:rPr>
          <w:rFonts w:eastAsia="Times New Roman" w:cstheme="minorHAnsi"/>
          <w:lang w:eastAsia="fr-FR"/>
        </w:rPr>
      </w:pPr>
      <w:bookmarkStart w:id="4" w:name="_Hlk83825668"/>
      <w:r w:rsidRPr="00CD2B38">
        <w:rPr>
          <w:rFonts w:eastAsia="Times New Roman" w:cstheme="minorHAnsi"/>
          <w:lang w:eastAsia="fr-FR"/>
        </w:rPr>
        <w:t>Un nouveau compartiment peut également être introduit pour prendre en compte le fait qu’un individu peut être contaminé sans être encore contagieux.</w:t>
      </w:r>
      <w:r w:rsidRPr="00CD2B38">
        <w:rPr>
          <w:rFonts w:eastAsia="Times New Roman" w:cstheme="minorHAnsi"/>
          <w:lang w:eastAsia="fr-FR"/>
        </w:rPr>
        <w:br/>
        <w:t xml:space="preserve">On introduit donc une quatrième variable d’état C, dont la valeur est l’effectif des individus dans cet état contaminé non contagieux. </w:t>
      </w:r>
      <w:proofErr w:type="gramStart"/>
      <w:r w:rsidRPr="00CD2B38">
        <w:rPr>
          <w:rFonts w:eastAsia="Times New Roman" w:cstheme="minorHAnsi"/>
          <w:lang w:eastAsia="fr-FR"/>
        </w:rPr>
        <w:t>ν</w:t>
      </w:r>
      <w:proofErr w:type="gramEnd"/>
      <w:r w:rsidRPr="00CD2B38">
        <w:rPr>
          <w:rFonts w:eastAsia="Times New Roman" w:cstheme="minorHAnsi"/>
          <w:lang w:eastAsia="fr-FR"/>
        </w:rPr>
        <w:t xml:space="preserve"> est la durée, en jours, de la période d’incubation.</w:t>
      </w:r>
    </w:p>
    <w:bookmarkEnd w:id="4"/>
    <w:p w14:paraId="0233FB97" w14:textId="5C1B300F" w:rsidR="00A50E0C" w:rsidRDefault="00CD2B38" w:rsidP="00CD2B38">
      <w:pPr>
        <w:jc w:val="center"/>
        <w:rPr>
          <w:rFonts w:cstheme="minorHAnsi"/>
          <w:b/>
          <w:bCs/>
        </w:rPr>
      </w:pPr>
      <w:r>
        <w:rPr>
          <w:noProof/>
        </w:rPr>
        <w:drawing>
          <wp:inline distT="0" distB="0" distL="0" distR="0" wp14:anchorId="4D0E751A" wp14:editId="4CE15E90">
            <wp:extent cx="3691002" cy="1786508"/>
            <wp:effectExtent l="0" t="0" r="508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4156" cy="1802555"/>
                    </a:xfrm>
                    <a:prstGeom prst="rect">
                      <a:avLst/>
                    </a:prstGeom>
                    <a:noFill/>
                    <a:ln>
                      <a:noFill/>
                    </a:ln>
                  </pic:spPr>
                </pic:pic>
              </a:graphicData>
            </a:graphic>
          </wp:inline>
        </w:drawing>
      </w:r>
    </w:p>
    <w:p w14:paraId="60DEEFE1" w14:textId="77777777" w:rsidR="00CD2B38" w:rsidRPr="00CD2B38" w:rsidRDefault="00CD2B38" w:rsidP="00CD2B38">
      <w:pPr>
        <w:shd w:val="clear" w:color="auto" w:fill="FFFFFF"/>
        <w:spacing w:after="300" w:line="240" w:lineRule="auto"/>
        <w:rPr>
          <w:rFonts w:eastAsia="Times New Roman" w:cstheme="minorHAnsi"/>
          <w:color w:val="697180"/>
          <w:lang w:eastAsia="fr-FR"/>
        </w:rPr>
      </w:pPr>
      <w:r w:rsidRPr="00CD2B38">
        <w:rPr>
          <w:rFonts w:eastAsia="Times New Roman" w:cstheme="minorHAnsi"/>
          <w:color w:val="697180"/>
          <w:lang w:eastAsia="fr-FR"/>
        </w:rPr>
        <w:t>Le système devient :</w:t>
      </w:r>
    </w:p>
    <w:p w14:paraId="63A587F1" w14:textId="77777777" w:rsidR="00CD2B38" w:rsidRPr="00CD2B38" w:rsidRDefault="00CD2B38" w:rsidP="00CD2B38">
      <w:pPr>
        <w:shd w:val="clear" w:color="auto" w:fill="FFFFFF"/>
        <w:spacing w:after="300" w:line="240" w:lineRule="auto"/>
        <w:rPr>
          <w:rFonts w:eastAsia="Times New Roman" w:cstheme="minorHAnsi"/>
          <w:color w:val="697180"/>
          <w:lang w:eastAsia="fr-FR"/>
        </w:rPr>
      </w:pPr>
      <m:oMathPara>
        <m:oMath>
          <m:f>
            <m:fPr>
              <m:ctrlPr>
                <w:rPr>
                  <w:rFonts w:ascii="Cambria Math" w:eastAsia="Times New Roman" w:hAnsi="Cambria Math" w:cstheme="minorHAnsi"/>
                  <w:i/>
                  <w:color w:val="697180"/>
                  <w:lang w:eastAsia="fr-FR"/>
                </w:rPr>
              </m:ctrlPr>
            </m:fPr>
            <m:num>
              <m:r>
                <w:rPr>
                  <w:rFonts w:ascii="Cambria Math" w:eastAsia="Times New Roman" w:hAnsi="Cambria Math" w:cstheme="minorHAnsi"/>
                  <w:color w:val="697180"/>
                  <w:lang w:eastAsia="fr-FR"/>
                </w:rPr>
                <m:t>d S</m:t>
              </m:r>
            </m:num>
            <m:den>
              <m:r>
                <w:rPr>
                  <w:rFonts w:ascii="Cambria Math" w:eastAsia="Times New Roman" w:hAnsi="Cambria Math" w:cstheme="minorHAnsi"/>
                  <w:color w:val="697180"/>
                  <w:lang w:eastAsia="fr-FR"/>
                </w:rPr>
                <m:t>d t</m:t>
              </m:r>
            </m:den>
          </m:f>
          <m:r>
            <w:rPr>
              <w:rFonts w:ascii="Cambria Math" w:eastAsia="Times New Roman" w:hAnsi="Cambria Math" w:cstheme="minorHAnsi"/>
              <w:color w:val="697180"/>
              <w:lang w:eastAsia="fr-FR"/>
            </w:rPr>
            <m:t xml:space="preserve">=-βIS,  </m:t>
          </m:r>
          <m:f>
            <m:fPr>
              <m:ctrlPr>
                <w:rPr>
                  <w:rFonts w:ascii="Cambria Math" w:eastAsia="Times New Roman" w:hAnsi="Cambria Math" w:cstheme="minorHAnsi"/>
                  <w:i/>
                  <w:color w:val="697180"/>
                  <w:lang w:eastAsia="fr-FR"/>
                </w:rPr>
              </m:ctrlPr>
            </m:fPr>
            <m:num>
              <m:r>
                <w:rPr>
                  <w:rFonts w:ascii="Cambria Math" w:eastAsia="Times New Roman" w:hAnsi="Cambria Math" w:cstheme="minorHAnsi"/>
                  <w:color w:val="697180"/>
                  <w:lang w:eastAsia="fr-FR"/>
                </w:rPr>
                <m:t>d C</m:t>
              </m:r>
            </m:num>
            <m:den>
              <m:r>
                <w:rPr>
                  <w:rFonts w:ascii="Cambria Math" w:eastAsia="Times New Roman" w:hAnsi="Cambria Math" w:cstheme="minorHAnsi"/>
                  <w:color w:val="697180"/>
                  <w:lang w:eastAsia="fr-FR"/>
                </w:rPr>
                <m:t>d t</m:t>
              </m:r>
            </m:den>
          </m:f>
          <m:r>
            <w:rPr>
              <w:rFonts w:ascii="Cambria Math" w:eastAsia="Times New Roman" w:hAnsi="Cambria Math" w:cstheme="minorHAnsi"/>
              <w:color w:val="697180"/>
              <w:lang w:eastAsia="fr-FR"/>
            </w:rPr>
            <m:t>=βIS-</m:t>
          </m:r>
          <m:f>
            <m:fPr>
              <m:ctrlPr>
                <w:rPr>
                  <w:rFonts w:ascii="Cambria Math" w:eastAsia="Times New Roman" w:hAnsi="Cambria Math" w:cstheme="minorHAnsi"/>
                  <w:i/>
                  <w:color w:val="697180"/>
                  <w:lang w:eastAsia="fr-FR"/>
                </w:rPr>
              </m:ctrlPr>
            </m:fPr>
            <m:num>
              <m:r>
                <w:rPr>
                  <w:rFonts w:ascii="Cambria Math" w:eastAsia="Times New Roman" w:hAnsi="Cambria Math" w:cstheme="minorHAnsi"/>
                  <w:color w:val="697180"/>
                  <w:lang w:eastAsia="fr-FR"/>
                </w:rPr>
                <m:t>C</m:t>
              </m:r>
            </m:num>
            <m:den>
              <m:r>
                <w:rPr>
                  <w:rFonts w:ascii="Cambria Math" w:eastAsia="Times New Roman" w:hAnsi="Cambria Math" w:cstheme="minorHAnsi"/>
                  <w:color w:val="697180"/>
                  <w:lang w:eastAsia="fr-FR"/>
                </w:rPr>
                <m:t>v</m:t>
              </m:r>
            </m:den>
          </m:f>
        </m:oMath>
      </m:oMathPara>
    </w:p>
    <w:p w14:paraId="605D1665" w14:textId="77777777" w:rsidR="00CD2B38" w:rsidRPr="00CD2B38" w:rsidRDefault="00CD2B38" w:rsidP="00CD2B38">
      <w:pPr>
        <w:shd w:val="clear" w:color="auto" w:fill="FFFFFF"/>
        <w:spacing w:after="300" w:line="240" w:lineRule="auto"/>
        <w:rPr>
          <w:rFonts w:eastAsia="Times New Roman" w:cstheme="minorHAnsi"/>
          <w:color w:val="697180"/>
          <w:lang w:eastAsia="fr-FR"/>
        </w:rPr>
      </w:pPr>
      <m:oMathPara>
        <m:oMath>
          <m:f>
            <m:fPr>
              <m:ctrlPr>
                <w:rPr>
                  <w:rFonts w:ascii="Cambria Math" w:eastAsia="Times New Roman" w:hAnsi="Cambria Math" w:cstheme="minorHAnsi"/>
                  <w:i/>
                  <w:color w:val="697180"/>
                  <w:lang w:eastAsia="fr-FR"/>
                </w:rPr>
              </m:ctrlPr>
            </m:fPr>
            <m:num>
              <m:r>
                <w:rPr>
                  <w:rFonts w:ascii="Cambria Math" w:eastAsia="Times New Roman" w:hAnsi="Cambria Math" w:cstheme="minorHAnsi"/>
                  <w:color w:val="697180"/>
                  <w:lang w:eastAsia="fr-FR"/>
                </w:rPr>
                <m:t>d I</m:t>
              </m:r>
            </m:num>
            <m:den>
              <m:r>
                <w:rPr>
                  <w:rFonts w:ascii="Cambria Math" w:eastAsia="Times New Roman" w:hAnsi="Cambria Math" w:cstheme="minorHAnsi"/>
                  <w:color w:val="697180"/>
                  <w:lang w:eastAsia="fr-FR"/>
                </w:rPr>
                <m:t>d t</m:t>
              </m:r>
            </m:den>
          </m:f>
          <m:r>
            <w:rPr>
              <w:rFonts w:ascii="Cambria Math" w:eastAsia="Times New Roman" w:hAnsi="Cambria Math" w:cstheme="minorHAnsi"/>
              <w:color w:val="697180"/>
              <w:lang w:eastAsia="fr-FR"/>
            </w:rPr>
            <m:t>=</m:t>
          </m:r>
          <m:f>
            <m:fPr>
              <m:ctrlPr>
                <w:rPr>
                  <w:rFonts w:ascii="Cambria Math" w:eastAsia="Times New Roman" w:hAnsi="Cambria Math" w:cstheme="minorHAnsi"/>
                  <w:i/>
                  <w:color w:val="697180"/>
                  <w:lang w:eastAsia="fr-FR"/>
                </w:rPr>
              </m:ctrlPr>
            </m:fPr>
            <m:num>
              <m:r>
                <w:rPr>
                  <w:rFonts w:ascii="Cambria Math" w:eastAsia="Times New Roman" w:hAnsi="Cambria Math" w:cstheme="minorHAnsi"/>
                  <w:color w:val="697180"/>
                  <w:lang w:eastAsia="fr-FR"/>
                </w:rPr>
                <m:t>C</m:t>
              </m:r>
            </m:num>
            <m:den>
              <m:r>
                <w:rPr>
                  <w:rFonts w:ascii="Cambria Math" w:eastAsia="Times New Roman" w:hAnsi="Cambria Math" w:cstheme="minorHAnsi"/>
                  <w:color w:val="697180"/>
                  <w:lang w:eastAsia="fr-FR"/>
                </w:rPr>
                <m:t>v</m:t>
              </m:r>
            </m:den>
          </m:f>
          <m:r>
            <w:rPr>
              <w:rFonts w:ascii="Cambria Math" w:eastAsia="Times New Roman" w:hAnsi="Cambria Math" w:cstheme="minorHAnsi"/>
              <w:color w:val="697180"/>
              <w:lang w:eastAsia="fr-FR"/>
            </w:rPr>
            <m:t>-</m:t>
          </m:r>
          <m:f>
            <m:fPr>
              <m:ctrlPr>
                <w:rPr>
                  <w:rFonts w:ascii="Cambria Math" w:eastAsia="Times New Roman" w:hAnsi="Cambria Math" w:cstheme="minorHAnsi"/>
                  <w:i/>
                  <w:color w:val="697180"/>
                  <w:lang w:eastAsia="fr-FR"/>
                </w:rPr>
              </m:ctrlPr>
            </m:fPr>
            <m:num>
              <m:r>
                <w:rPr>
                  <w:rFonts w:ascii="Cambria Math" w:eastAsia="Times New Roman" w:hAnsi="Cambria Math" w:cstheme="minorHAnsi"/>
                  <w:color w:val="697180"/>
                  <w:lang w:eastAsia="fr-FR"/>
                </w:rPr>
                <m:t>I</m:t>
              </m:r>
            </m:num>
            <m:den>
              <m:r>
                <w:rPr>
                  <w:rFonts w:ascii="Cambria Math" w:eastAsia="Times New Roman" w:hAnsi="Cambria Math" w:cstheme="minorHAnsi"/>
                  <w:color w:val="697180"/>
                  <w:lang w:eastAsia="fr-FR"/>
                </w:rPr>
                <m:t>λ</m:t>
              </m:r>
            </m:den>
          </m:f>
          <m:r>
            <w:rPr>
              <w:rFonts w:ascii="Cambria Math" w:eastAsia="Times New Roman" w:hAnsi="Cambria Math" w:cstheme="minorHAnsi"/>
              <w:color w:val="697180"/>
              <w:lang w:eastAsia="fr-FR"/>
            </w:rPr>
            <m:t xml:space="preserve">-μI,  </m:t>
          </m:r>
          <m:f>
            <m:fPr>
              <m:ctrlPr>
                <w:rPr>
                  <w:rFonts w:ascii="Cambria Math" w:eastAsia="Times New Roman" w:hAnsi="Cambria Math" w:cstheme="minorHAnsi"/>
                  <w:i/>
                  <w:color w:val="697180"/>
                  <w:lang w:eastAsia="fr-FR"/>
                </w:rPr>
              </m:ctrlPr>
            </m:fPr>
            <m:num>
              <m:r>
                <w:rPr>
                  <w:rFonts w:ascii="Cambria Math" w:eastAsia="Times New Roman" w:hAnsi="Cambria Math" w:cstheme="minorHAnsi"/>
                  <w:color w:val="697180"/>
                  <w:lang w:eastAsia="fr-FR"/>
                </w:rPr>
                <m:t>d R</m:t>
              </m:r>
            </m:num>
            <m:den>
              <m:r>
                <w:rPr>
                  <w:rFonts w:ascii="Cambria Math" w:eastAsia="Times New Roman" w:hAnsi="Cambria Math" w:cstheme="minorHAnsi"/>
                  <w:color w:val="697180"/>
                  <w:lang w:eastAsia="fr-FR"/>
                </w:rPr>
                <m:t>d t</m:t>
              </m:r>
            </m:den>
          </m:f>
          <m:r>
            <w:rPr>
              <w:rFonts w:ascii="Cambria Math" w:eastAsia="Times New Roman" w:hAnsi="Cambria Math" w:cstheme="minorHAnsi"/>
              <w:color w:val="697180"/>
              <w:lang w:eastAsia="fr-FR"/>
            </w:rPr>
            <m:t>=</m:t>
          </m:r>
          <m:f>
            <m:fPr>
              <m:ctrlPr>
                <w:rPr>
                  <w:rFonts w:ascii="Cambria Math" w:eastAsia="Times New Roman" w:hAnsi="Cambria Math" w:cstheme="minorHAnsi"/>
                  <w:i/>
                  <w:color w:val="697180"/>
                  <w:lang w:eastAsia="fr-FR"/>
                </w:rPr>
              </m:ctrlPr>
            </m:fPr>
            <m:num>
              <m:r>
                <w:rPr>
                  <w:rFonts w:ascii="Cambria Math" w:eastAsia="Times New Roman" w:hAnsi="Cambria Math" w:cstheme="minorHAnsi"/>
                  <w:color w:val="697180"/>
                  <w:lang w:eastAsia="fr-FR"/>
                </w:rPr>
                <m:t>I</m:t>
              </m:r>
            </m:num>
            <m:den>
              <m:r>
                <w:rPr>
                  <w:rFonts w:ascii="Cambria Math" w:eastAsia="Times New Roman" w:hAnsi="Cambria Math" w:cstheme="minorHAnsi"/>
                  <w:color w:val="697180"/>
                  <w:lang w:eastAsia="fr-FR"/>
                </w:rPr>
                <m:t>λ</m:t>
              </m:r>
            </m:den>
          </m:f>
        </m:oMath>
      </m:oMathPara>
    </w:p>
    <w:p w14:paraId="6E310578" w14:textId="77777777" w:rsidR="00CD2B38" w:rsidRDefault="00CD2B38" w:rsidP="00CD2B38">
      <w:pPr>
        <w:shd w:val="clear" w:color="auto" w:fill="FFFFFF"/>
        <w:spacing w:after="300" w:line="240" w:lineRule="auto"/>
        <w:jc w:val="center"/>
        <w:rPr>
          <w:rFonts w:ascii="Arial" w:eastAsia="Times New Roman" w:hAnsi="Arial" w:cs="Arial"/>
          <w:color w:val="697180"/>
          <w:sz w:val="24"/>
          <w:szCs w:val="24"/>
          <w:lang w:eastAsia="fr-FR"/>
        </w:rPr>
      </w:pPr>
      <w:r>
        <w:rPr>
          <w:rFonts w:ascii="Arial" w:eastAsia="Times New Roman" w:hAnsi="Arial" w:cs="Arial"/>
          <w:noProof/>
          <w:color w:val="697180"/>
          <w:sz w:val="24"/>
          <w:szCs w:val="24"/>
          <w:lang w:eastAsia="fr-FR"/>
        </w:rPr>
        <w:drawing>
          <wp:inline distT="0" distB="0" distL="0" distR="0" wp14:anchorId="7AE00DB0" wp14:editId="55EB7927">
            <wp:extent cx="4146933" cy="3362525"/>
            <wp:effectExtent l="0" t="0" r="635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9">
                      <a:extLst>
                        <a:ext uri="{28A0092B-C50C-407E-A947-70E740481C1C}">
                          <a14:useLocalDpi xmlns:a14="http://schemas.microsoft.com/office/drawing/2010/main" val="0"/>
                        </a:ext>
                      </a:extLst>
                    </a:blip>
                    <a:stretch>
                      <a:fillRect/>
                    </a:stretch>
                  </pic:blipFill>
                  <pic:spPr>
                    <a:xfrm>
                      <a:off x="0" y="0"/>
                      <a:ext cx="4167432" cy="3379146"/>
                    </a:xfrm>
                    <a:prstGeom prst="rect">
                      <a:avLst/>
                    </a:prstGeom>
                  </pic:spPr>
                </pic:pic>
              </a:graphicData>
            </a:graphic>
          </wp:inline>
        </w:drawing>
      </w:r>
      <w:r w:rsidRPr="00122ED3">
        <w:rPr>
          <w:rFonts w:ascii="Arial" w:eastAsia="Times New Roman" w:hAnsi="Arial" w:cs="Arial"/>
          <w:color w:val="697180"/>
          <w:sz w:val="24"/>
          <w:szCs w:val="24"/>
          <w:lang w:eastAsia="fr-FR"/>
        </w:rPr>
        <w:br/>
      </w:r>
    </w:p>
    <w:p w14:paraId="1602DB9C" w14:textId="77777777" w:rsidR="00CD2B38" w:rsidRDefault="00CD2B38" w:rsidP="00CD2B38">
      <w:pPr>
        <w:shd w:val="clear" w:color="auto" w:fill="FFFFFF"/>
        <w:spacing w:after="300" w:line="240" w:lineRule="auto"/>
        <w:rPr>
          <w:rFonts w:eastAsia="Times New Roman" w:cstheme="minorHAnsi"/>
          <w:lang w:eastAsia="fr-FR"/>
        </w:rPr>
      </w:pPr>
      <w:r w:rsidRPr="00CD2B38">
        <w:rPr>
          <w:rFonts w:eastAsia="Times New Roman" w:cstheme="minorHAnsi"/>
          <w:lang w:eastAsia="fr-FR"/>
        </w:rPr>
        <w:t>La complexité du modèle augmente ; il est de plus en plus difficile de prédire le comportement du système sans en lancer la simulation.</w:t>
      </w:r>
    </w:p>
    <w:p w14:paraId="429C7CDF" w14:textId="71F9C4E1" w:rsidR="00CD2B38" w:rsidRPr="00CD2B38" w:rsidRDefault="00CD2B38" w:rsidP="00CD2B38">
      <w:pPr>
        <w:shd w:val="clear" w:color="auto" w:fill="FFFFFF"/>
        <w:spacing w:after="300" w:line="240" w:lineRule="auto"/>
        <w:rPr>
          <w:rFonts w:eastAsia="Times New Roman" w:cstheme="minorHAnsi"/>
          <w:lang w:eastAsia="fr-FR"/>
        </w:rPr>
      </w:pPr>
      <w:r w:rsidRPr="00CD2B38">
        <w:rPr>
          <w:rFonts w:eastAsia="Times New Roman" w:cstheme="minorHAnsi"/>
          <w:lang w:eastAsia="fr-FR"/>
        </w:rPr>
        <w:t>De la même manière, il est possible d’introduire un temps moyen d’immunisation τ au-delà duquel une personne est de nouveau susceptible d’être infectée et quitte donc la population des rétablis pour réintégrer celle des susceptibles. Le diagramme des variables d’état et des flux, puis le système différentiel, peuvent être modifiés pour tenir compte de cette nouvelle hypothèse de modélisation.</w:t>
      </w:r>
    </w:p>
    <w:p w14:paraId="1A0F87F1" w14:textId="77777777" w:rsidR="00CD2B38" w:rsidRPr="00697243" w:rsidRDefault="00CD2B38" w:rsidP="00CD2B38">
      <w:pPr>
        <w:rPr>
          <w:rFonts w:cstheme="minorHAnsi"/>
          <w:b/>
          <w:bCs/>
        </w:rPr>
      </w:pPr>
    </w:p>
    <w:p w14:paraId="2E89D431" w14:textId="77777777" w:rsidR="00886DC6" w:rsidRDefault="00886DC6" w:rsidP="0006180B">
      <w:pPr>
        <w:pStyle w:val="Paragraphedeliste"/>
        <w:numPr>
          <w:ilvl w:val="0"/>
          <w:numId w:val="2"/>
        </w:numPr>
        <w:rPr>
          <w:b/>
          <w:i/>
          <w:sz w:val="28"/>
          <w:u w:val="single"/>
        </w:rPr>
      </w:pPr>
      <w:r w:rsidRPr="00273839">
        <w:rPr>
          <w:b/>
          <w:i/>
          <w:sz w:val="28"/>
          <w:u w:val="single"/>
        </w:rPr>
        <w:t>Vers d’autres cieux.</w:t>
      </w:r>
    </w:p>
    <w:p w14:paraId="789E2920" w14:textId="77777777" w:rsidR="006A6660" w:rsidRDefault="00273839" w:rsidP="00886DC6">
      <w:pPr>
        <w:rPr>
          <w:b/>
          <w:sz w:val="28"/>
          <w:szCs w:val="28"/>
        </w:rPr>
      </w:pPr>
      <w:r>
        <w:rPr>
          <w:b/>
          <w:sz w:val="28"/>
          <w:szCs w:val="28"/>
        </w:rPr>
        <w:t xml:space="preserve">Dérivées partielles et EDP : </w:t>
      </w:r>
    </w:p>
    <w:p w14:paraId="669C9BD8" w14:textId="77777777" w:rsidR="00886DC6" w:rsidRPr="00CD2B38" w:rsidRDefault="00A755BB" w:rsidP="00886DC6">
      <w:pPr>
        <w:rPr>
          <w:rFonts w:cstheme="minorHAnsi"/>
        </w:rPr>
      </w:pPr>
      <w:r w:rsidRPr="00CD2B38">
        <w:rPr>
          <w:rFonts w:cstheme="minorHAnsi"/>
        </w:rPr>
        <w:t>O</w:t>
      </w:r>
      <w:r w:rsidR="00273839" w:rsidRPr="00CD2B38">
        <w:rPr>
          <w:rFonts w:cstheme="minorHAnsi"/>
        </w:rPr>
        <w:t>n rencontre dans la nature des phénomènes qui dépendent de plusieurs variables. Quand on se déplace à la surface de la Terre, notre position est repérée par deux variables, la latitude et la longitude. Si on s’envole, il faut rajouter l’altitude.</w:t>
      </w:r>
    </w:p>
    <w:p w14:paraId="2113AAFA" w14:textId="77777777" w:rsidR="00C70088" w:rsidRPr="00CD2B38" w:rsidRDefault="00C70088" w:rsidP="00886DC6">
      <w:pPr>
        <w:rPr>
          <w:rFonts w:eastAsiaTheme="minorEastAsia" w:cstheme="minorHAnsi"/>
        </w:rPr>
      </w:pPr>
      <w:r w:rsidRPr="00CD2B38">
        <w:rPr>
          <w:rFonts w:cstheme="minorHAnsi"/>
        </w:rPr>
        <w:t xml:space="preserve">Si on prend une fonction de 2 variables </w:t>
      </w:r>
      <m:oMath>
        <m:r>
          <w:rPr>
            <w:rFonts w:ascii="Cambria Math" w:hAnsi="Cambria Math" w:cstheme="minorHAnsi"/>
          </w:rPr>
          <m:t>f(x,y)</m:t>
        </m:r>
      </m:oMath>
      <w:r w:rsidRPr="00CD2B38">
        <w:rPr>
          <w:rFonts w:eastAsiaTheme="minorEastAsia" w:cstheme="minorHAnsi"/>
        </w:rPr>
        <w:t xml:space="preserve">, on peut fixer la variable </w:t>
      </w:r>
      <m:oMath>
        <m:r>
          <w:rPr>
            <w:rFonts w:ascii="Cambria Math" w:eastAsiaTheme="minorEastAsia" w:hAnsi="Cambria Math" w:cstheme="minorHAnsi"/>
          </w:rPr>
          <m:t>y</m:t>
        </m:r>
      </m:oMath>
      <w:r w:rsidRPr="00CD2B38">
        <w:rPr>
          <w:rFonts w:eastAsiaTheme="minorEastAsia" w:cstheme="minorHAnsi"/>
        </w:rPr>
        <w:t xml:space="preserve"> et étudier la dérivée de </w:t>
      </w:r>
      <m:oMath>
        <m:r>
          <w:rPr>
            <w:rFonts w:ascii="Cambria Math" w:eastAsiaTheme="minorEastAsia" w:hAnsi="Cambria Math" w:cstheme="minorHAnsi"/>
          </w:rPr>
          <m:t>f</m:t>
        </m:r>
      </m:oMath>
      <w:r w:rsidRPr="00CD2B38">
        <w:rPr>
          <w:rFonts w:eastAsiaTheme="minorEastAsia" w:cstheme="minorHAnsi"/>
        </w:rPr>
        <w:t xml:space="preserve"> par rapport à </w:t>
      </w:r>
      <m:oMath>
        <m:r>
          <w:rPr>
            <w:rFonts w:ascii="Cambria Math" w:eastAsiaTheme="minorEastAsia" w:hAnsi="Cambria Math" w:cstheme="minorHAnsi"/>
          </w:rPr>
          <m:t>x</m:t>
        </m:r>
      </m:oMath>
      <w:r w:rsidRPr="00CD2B38">
        <w:rPr>
          <w:rFonts w:eastAsiaTheme="minorEastAsia" w:cstheme="minorHAnsi"/>
        </w:rPr>
        <w:t xml:space="preserve">. On utilise alors la notation </w:t>
      </w:r>
      <m:oMath>
        <m:f>
          <m:fPr>
            <m:ctrlPr>
              <w:rPr>
                <w:rFonts w:ascii="Cambria Math" w:eastAsiaTheme="minorEastAsia" w:hAnsi="Cambria Math" w:cstheme="minorHAnsi"/>
                <w:i/>
              </w:rPr>
            </m:ctrlPr>
          </m:fPr>
          <m:num>
            <m:r>
              <w:rPr>
                <w:rFonts w:ascii="Cambria Math" w:eastAsiaTheme="minorEastAsia" w:hAnsi="Cambria Math" w:cstheme="minorHAnsi"/>
              </w:rPr>
              <m:t>∂f</m:t>
            </m:r>
          </m:num>
          <m:den>
            <m:r>
              <w:rPr>
                <w:rFonts w:ascii="Cambria Math" w:eastAsiaTheme="minorEastAsia" w:hAnsi="Cambria Math" w:cstheme="minorHAnsi"/>
              </w:rPr>
              <m:t>∂ x</m:t>
            </m:r>
          </m:den>
        </m:f>
        <m:r>
          <w:rPr>
            <w:rFonts w:ascii="Cambria Math" w:eastAsiaTheme="minorEastAsia" w:hAnsi="Cambria Math" w:cstheme="minorHAnsi"/>
          </w:rPr>
          <m:t>(x,y)</m:t>
        </m:r>
      </m:oMath>
      <w:r w:rsidRPr="00CD2B38">
        <w:rPr>
          <w:rFonts w:eastAsiaTheme="minorEastAsia" w:cstheme="minorHAnsi"/>
        </w:rPr>
        <w:t xml:space="preserve">. On peut en remettre une couche et dériver 2 fois par rapport à </w:t>
      </w:r>
      <m:oMath>
        <m:r>
          <w:rPr>
            <w:rFonts w:ascii="Cambria Math" w:eastAsiaTheme="minorEastAsia" w:hAnsi="Cambria Math" w:cstheme="minorHAnsi"/>
          </w:rPr>
          <m:t>x</m:t>
        </m:r>
      </m:oMath>
      <w:r w:rsidRPr="00CD2B38">
        <w:rPr>
          <w:rFonts w:eastAsiaTheme="minorEastAsia" w:cstheme="minorHAnsi"/>
        </w:rPr>
        <w:t xml:space="preserve">, que l’on écrira </w:t>
      </w:r>
      <m:oMath>
        <m:f>
          <m:fPr>
            <m:ctrlPr>
              <w:rPr>
                <w:rFonts w:ascii="Cambria Math" w:eastAsiaTheme="minorEastAsia" w:hAnsi="Cambria Math" w:cstheme="minorHAnsi"/>
                <w:i/>
              </w:rPr>
            </m:ctrlPr>
          </m:fPr>
          <m:num>
            <m:r>
              <w:rPr>
                <w:rFonts w:ascii="Cambria Math" w:eastAsiaTheme="minorEastAsia" w:hAnsi="Cambria Math" w:cstheme="minorHAnsi"/>
              </w:rPr>
              <m:t>∂²f</m:t>
            </m:r>
          </m:num>
          <m:den>
            <m:r>
              <w:rPr>
                <w:rFonts w:ascii="Cambria Math" w:eastAsiaTheme="minorEastAsia" w:hAnsi="Cambria Math" w:cstheme="minorHAnsi"/>
              </w:rPr>
              <m:t>∂ x²</m:t>
            </m:r>
          </m:den>
        </m:f>
        <m:r>
          <w:rPr>
            <w:rFonts w:ascii="Cambria Math" w:eastAsiaTheme="minorEastAsia" w:hAnsi="Cambria Math" w:cstheme="minorHAnsi"/>
          </w:rPr>
          <m:t>(x,y)</m:t>
        </m:r>
      </m:oMath>
      <w:r w:rsidRPr="00CD2B38">
        <w:rPr>
          <w:rFonts w:eastAsiaTheme="minorEastAsia" w:cstheme="minorHAnsi"/>
        </w:rPr>
        <w:t>.</w:t>
      </w:r>
    </w:p>
    <w:p w14:paraId="0A92F5D1" w14:textId="77777777" w:rsidR="00C70088" w:rsidRPr="00CD2B38" w:rsidRDefault="006A6660" w:rsidP="00886DC6">
      <w:pPr>
        <w:rPr>
          <w:rFonts w:eastAsiaTheme="minorEastAsia" w:cstheme="minorHAnsi"/>
        </w:rPr>
      </w:pPr>
      <w:r w:rsidRPr="00CD2B38">
        <w:rPr>
          <w:rFonts w:eastAsiaTheme="minorEastAsia" w:cstheme="minorHAnsi"/>
        </w:rPr>
        <w:t>L’une des équations aux dérivées partielles les plus importantes (avec l’équation de Boltzmann chère à notre Cédric national) est l’équation de Navier-Stokes. Un peu difficile à comprendre mais qui peut servir à tapisser un mur par exemple :</w:t>
      </w:r>
    </w:p>
    <w:p w14:paraId="42ED00DB" w14:textId="77777777" w:rsidR="00C70088" w:rsidRDefault="00DA19DF" w:rsidP="00886DC6">
      <w:hyperlink r:id="rId50" w:history="1">
        <w:r w:rsidR="00C70088">
          <w:rPr>
            <w:rStyle w:val="Lienhypertexte"/>
          </w:rPr>
          <w:t>https://sciencetonnante.wordpress.com/2014/03/03/la-mysterieuse-equation-de-navier-stokes/</w:t>
        </w:r>
      </w:hyperlink>
    </w:p>
    <w:p w14:paraId="1946B8AA" w14:textId="77777777" w:rsidR="00273839" w:rsidRDefault="00273839" w:rsidP="00273839">
      <w:pPr>
        <w:jc w:val="center"/>
      </w:pPr>
      <w:r>
        <w:rPr>
          <w:noProof/>
          <w:lang w:eastAsia="fr-FR"/>
        </w:rPr>
        <w:drawing>
          <wp:inline distT="0" distB="0" distL="0" distR="0" wp14:anchorId="3236AD04" wp14:editId="76983284">
            <wp:extent cx="3299460" cy="964888"/>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navier-stokes.png"/>
                    <pic:cNvPicPr/>
                  </pic:nvPicPr>
                  <pic:blipFill>
                    <a:blip r:embed="rId51">
                      <a:extLst>
                        <a:ext uri="{28A0092B-C50C-407E-A947-70E740481C1C}">
                          <a14:useLocalDpi xmlns:a14="http://schemas.microsoft.com/office/drawing/2010/main" val="0"/>
                        </a:ext>
                      </a:extLst>
                    </a:blip>
                    <a:stretch>
                      <a:fillRect/>
                    </a:stretch>
                  </pic:blipFill>
                  <pic:spPr>
                    <a:xfrm>
                      <a:off x="0" y="0"/>
                      <a:ext cx="3309105" cy="967709"/>
                    </a:xfrm>
                    <a:prstGeom prst="rect">
                      <a:avLst/>
                    </a:prstGeom>
                  </pic:spPr>
                </pic:pic>
              </a:graphicData>
            </a:graphic>
          </wp:inline>
        </w:drawing>
      </w:r>
    </w:p>
    <w:p w14:paraId="492702D6" w14:textId="77777777" w:rsidR="007C476C" w:rsidRPr="007C476C" w:rsidRDefault="007C476C" w:rsidP="007C476C">
      <w:pPr>
        <w:rPr>
          <w:rFonts w:cstheme="minorHAnsi"/>
        </w:rPr>
      </w:pPr>
      <w:r w:rsidRPr="007C476C">
        <w:rPr>
          <w:rFonts w:cstheme="minorHAnsi"/>
          <w:color w:val="444444"/>
          <w:shd w:val="clear" w:color="auto" w:fill="FCFCFC"/>
        </w:rPr>
        <w:t>Ici </w:t>
      </w:r>
      <m:oMath>
        <m:r>
          <w:rPr>
            <w:rFonts w:ascii="Cambria Math" w:hAnsi="Cambria Math" w:cstheme="minorHAnsi"/>
            <w:color w:val="444444"/>
            <w:shd w:val="clear" w:color="auto" w:fill="FCFCFC"/>
          </w:rPr>
          <m:t>v</m:t>
        </m:r>
      </m:oMath>
      <w:r w:rsidRPr="007C476C">
        <w:rPr>
          <w:rFonts w:cstheme="minorHAnsi"/>
          <w:color w:val="444444"/>
          <w:shd w:val="clear" w:color="auto" w:fill="FCFCFC"/>
        </w:rPr>
        <w:t> est le champ de vitesse, </w:t>
      </w:r>
      <m:oMath>
        <m:r>
          <w:rPr>
            <w:rFonts w:ascii="Cambria Math" w:hAnsi="Cambria Math" w:cstheme="minorHAnsi"/>
            <w:color w:val="444444"/>
            <w:shd w:val="clear" w:color="auto" w:fill="FCFCFC"/>
          </w:rPr>
          <m:t>p</m:t>
        </m:r>
      </m:oMath>
      <w:r w:rsidRPr="007C476C">
        <w:rPr>
          <w:rFonts w:cstheme="minorHAnsi"/>
          <w:color w:val="444444"/>
          <w:shd w:val="clear" w:color="auto" w:fill="FCFCFC"/>
        </w:rPr>
        <w:t> est la pression, </w:t>
      </w:r>
      <w:r>
        <w:rPr>
          <w:rFonts w:cstheme="minorHAnsi"/>
          <w:noProof/>
          <w:lang w:eastAsia="fr-FR"/>
        </w:rPr>
        <w:t>ρ</w:t>
      </w:r>
      <w:r w:rsidRPr="007C476C">
        <w:rPr>
          <w:rFonts w:cstheme="minorHAnsi"/>
          <w:color w:val="444444"/>
          <w:shd w:val="clear" w:color="auto" w:fill="FCFCFC"/>
        </w:rPr>
        <w:t> la masse volumique du fluide et </w:t>
      </w:r>
      <w:r>
        <w:rPr>
          <w:rFonts w:cstheme="minorHAnsi"/>
          <w:noProof/>
          <w:lang w:eastAsia="fr-FR"/>
        </w:rPr>
        <w:t>μ</w:t>
      </w:r>
      <w:r w:rsidRPr="007C476C">
        <w:rPr>
          <w:rFonts w:cstheme="minorHAnsi"/>
          <w:color w:val="444444"/>
          <w:shd w:val="clear" w:color="auto" w:fill="FCFCFC"/>
        </w:rPr>
        <w:t> sa viscosité.</w:t>
      </w:r>
    </w:p>
    <w:p w14:paraId="78A4A49B" w14:textId="5FD1AA88" w:rsidR="008E0A64" w:rsidRPr="00273839" w:rsidRDefault="008E0A64" w:rsidP="008E0A64">
      <w:r>
        <w:t xml:space="preserve">Vous retrouvez cette équation en mécanique des fluides, lorsque vous faites une mayonnaise avec de l’huile d’olive, lorsque vous prenez un avion ou quand vous regardez les prévisions météo. Le gros problème avec ces dernières c’est le terme </w:t>
      </w:r>
      <m:oMath>
        <m:r>
          <w:rPr>
            <w:rFonts w:ascii="Cambria Math" w:hAnsi="Cambria Math"/>
          </w:rPr>
          <m:t>v.</m:t>
        </m:r>
        <m:r>
          <m:rPr>
            <m:sty m:val="p"/>
          </m:rPr>
          <w:rPr>
            <w:rFonts w:ascii="Cambria Math" w:hAnsi="Cambria Math"/>
          </w:rPr>
          <m:t>∇</m:t>
        </m:r>
        <m:r>
          <w:rPr>
            <w:rFonts w:ascii="Cambria Math" w:hAnsi="Cambria Math"/>
          </w:rPr>
          <m:t>v</m:t>
        </m:r>
      </m:oMath>
      <w:r>
        <w:rPr>
          <w:rFonts w:eastAsiaTheme="minorEastAsia"/>
        </w:rPr>
        <w:t xml:space="preserve"> qui est non linéaire et qui est responsable du fameux effet papillon et justifie </w:t>
      </w:r>
      <w:r w:rsidR="00A50E0C">
        <w:rPr>
          <w:rFonts w:eastAsiaTheme="minorEastAsia"/>
        </w:rPr>
        <w:t xml:space="preserve">(ou pas) </w:t>
      </w:r>
      <w:r>
        <w:rPr>
          <w:rFonts w:eastAsiaTheme="minorEastAsia"/>
        </w:rPr>
        <w:t>parfois les prévisions</w:t>
      </w:r>
      <w:r w:rsidR="00B37E4D">
        <w:rPr>
          <w:rFonts w:eastAsiaTheme="minorEastAsia"/>
        </w:rPr>
        <w:t xml:space="preserve"> fausses</w:t>
      </w:r>
      <w:r>
        <w:rPr>
          <w:rFonts w:eastAsiaTheme="minorEastAsia"/>
        </w:rPr>
        <w:t>…</w:t>
      </w:r>
    </w:p>
    <w:p w14:paraId="5F4BB87B" w14:textId="77777777" w:rsidR="006A6660" w:rsidRDefault="00886DC6" w:rsidP="00886DC6">
      <w:pPr>
        <w:rPr>
          <w:b/>
          <w:sz w:val="32"/>
          <w:szCs w:val="32"/>
        </w:rPr>
      </w:pPr>
      <w:r w:rsidRPr="00273839">
        <w:rPr>
          <w:b/>
          <w:sz w:val="32"/>
          <w:szCs w:val="32"/>
        </w:rPr>
        <w:t>Analyse non standard</w:t>
      </w:r>
      <w:r w:rsidR="006A6660">
        <w:rPr>
          <w:b/>
          <w:sz w:val="32"/>
          <w:szCs w:val="32"/>
        </w:rPr>
        <w:t> </w:t>
      </w:r>
      <w:r w:rsidR="00D10ACB">
        <w:rPr>
          <w:b/>
          <w:sz w:val="32"/>
          <w:szCs w:val="32"/>
        </w:rPr>
        <w:t>(ANS)</w:t>
      </w:r>
      <w:r w:rsidR="006A6660">
        <w:rPr>
          <w:b/>
          <w:sz w:val="32"/>
          <w:szCs w:val="32"/>
        </w:rPr>
        <w:t xml:space="preserve">: </w:t>
      </w:r>
    </w:p>
    <w:p w14:paraId="76F12F5B" w14:textId="77777777" w:rsidR="008E0A64" w:rsidRPr="008E0A64" w:rsidRDefault="00DA19DF" w:rsidP="00886DC6">
      <w:hyperlink r:id="rId52" w:history="1">
        <w:r w:rsidR="008E0A64">
          <w:rPr>
            <w:rStyle w:val="Lienhypertexte"/>
          </w:rPr>
          <w:t>https://fr.wikipedia.org/wiki/Analyse_non_standard</w:t>
        </w:r>
      </w:hyperlink>
    </w:p>
    <w:p w14:paraId="1DB2ACBF" w14:textId="77777777" w:rsidR="00886DC6" w:rsidRDefault="006A6660" w:rsidP="00886DC6">
      <w:pPr>
        <w:rPr>
          <w:rFonts w:eastAsiaTheme="minorEastAsia"/>
        </w:rPr>
      </w:pPr>
      <w:r>
        <w:t xml:space="preserve">Les Physiciens, les Biologistes, les Pharmaciens, les Médecins </w:t>
      </w:r>
      <w:r w:rsidR="008E0A64">
        <w:t xml:space="preserve">et d’autres </w:t>
      </w:r>
      <w:r>
        <w:t xml:space="preserve">utilisent sans vergogne l’écriture </w:t>
      </w:r>
      <m:oMath>
        <m:r>
          <w:rPr>
            <w:rFonts w:ascii="Cambria Math" w:hAnsi="Cambria Math"/>
          </w:rPr>
          <m:t>dx</m:t>
        </m:r>
      </m:oMath>
      <w:r>
        <w:rPr>
          <w:rFonts w:eastAsiaTheme="minorEastAsia"/>
        </w:rPr>
        <w:t xml:space="preserve"> pour désigner un infiniment petit</w:t>
      </w:r>
      <w:r w:rsidR="008E0A64">
        <w:rPr>
          <w:rFonts w:eastAsiaTheme="minorEastAsia"/>
        </w:rPr>
        <w:t xml:space="preserve"> mais cela n’avait pas de justification axiomatique avant Abraham Robinson en 1961 retoquée en 1977 par Edward Nelson. C’est de la logique mathématique assez abstraite, je ne m’étendrai pas là-dessus.</w:t>
      </w:r>
      <w:r w:rsidR="00D10ACB">
        <w:rPr>
          <w:rFonts w:eastAsiaTheme="minorEastAsia"/>
        </w:rPr>
        <w:t xml:space="preserve"> On montre ainsi l’existence d’entiers infiniments grands, puis de nombres infiniments petits et le tour est joué…</w:t>
      </w:r>
    </w:p>
    <w:p w14:paraId="6A99EA6F" w14:textId="77777777" w:rsidR="00D10ACB" w:rsidRDefault="00D10ACB" w:rsidP="00886DC6">
      <w:pPr>
        <w:rPr>
          <w:rFonts w:eastAsiaTheme="minorEastAsia"/>
        </w:rPr>
      </w:pPr>
      <w:r>
        <w:rPr>
          <w:rFonts w:eastAsiaTheme="minorEastAsia"/>
        </w:rPr>
        <w:t>On peut reprendre à l’aide de cette théorie les notions de dérivée et d’intégrale dont la formulation devient plus simple (à condition d’avoir avalé la pilule de l’ANS).</w:t>
      </w:r>
    </w:p>
    <w:p w14:paraId="2DC3965E" w14:textId="77777777" w:rsidR="00D10ACB" w:rsidRDefault="00D10ACB" w:rsidP="00886DC6">
      <w:pPr>
        <w:rPr>
          <w:rFonts w:eastAsiaTheme="minorEastAsia"/>
          <w:b/>
          <w:sz w:val="32"/>
          <w:szCs w:val="32"/>
        </w:rPr>
      </w:pPr>
      <w:r w:rsidRPr="00D10ACB">
        <w:rPr>
          <w:rFonts w:eastAsiaTheme="minorEastAsia"/>
          <w:b/>
          <w:sz w:val="32"/>
          <w:szCs w:val="32"/>
        </w:rPr>
        <w:t>La généralisation de la notion d’intégrale</w:t>
      </w:r>
      <w:r>
        <w:rPr>
          <w:rFonts w:eastAsiaTheme="minorEastAsia"/>
          <w:b/>
          <w:sz w:val="32"/>
          <w:szCs w:val="32"/>
        </w:rPr>
        <w:t> :</w:t>
      </w:r>
    </w:p>
    <w:p w14:paraId="436C5928" w14:textId="77777777" w:rsidR="00D10ACB" w:rsidRDefault="00D10ACB" w:rsidP="00886DC6">
      <w:pPr>
        <w:rPr>
          <w:rFonts w:eastAsiaTheme="minorEastAsia"/>
        </w:rPr>
      </w:pPr>
      <w:r>
        <w:rPr>
          <w:rFonts w:eastAsiaTheme="minorEastAsia"/>
        </w:rPr>
        <w:t>Tout d’abord, un cocorico ! En effet, après des siècles d’utilisation de la notion d’intégrale avec une théorie qui n’était pas parfaite, il a fallu attendre Henri Lebesgue en 1902 pour avoir en mains une nouvelle présentation de l’intégrale. Cela repose sur la théorie de la mesure mal cernée par des générations de mathématiciens et qui consiste tout simplement à savoir donner une longueur à un</w:t>
      </w:r>
      <w:r w:rsidR="00376C0D">
        <w:rPr>
          <w:rFonts w:eastAsiaTheme="minorEastAsia"/>
        </w:rPr>
        <w:t>e portion de droite.</w:t>
      </w:r>
    </w:p>
    <w:p w14:paraId="2EA53889" w14:textId="729448AF" w:rsidR="009E4963" w:rsidRDefault="00D36357" w:rsidP="009E4963">
      <w:pPr>
        <w:jc w:val="center"/>
        <w:rPr>
          <w:rFonts w:eastAsiaTheme="minorEastAsia"/>
        </w:rPr>
      </w:pPr>
      <w:r>
        <w:rPr>
          <w:rFonts w:eastAsiaTheme="minorEastAsia"/>
        </w:rPr>
        <w:t>.</w:t>
      </w:r>
      <w:r w:rsidR="009E4963">
        <w:rPr>
          <w:rFonts w:eastAsiaTheme="minorEastAsia"/>
          <w:noProof/>
          <w:lang w:eastAsia="fr-FR"/>
        </w:rPr>
        <w:drawing>
          <wp:inline distT="0" distB="0" distL="0" distR="0" wp14:anchorId="47D6D768" wp14:editId="18128886">
            <wp:extent cx="2085384" cy="22555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esgueH.jpg"/>
                    <pic:cNvPicPr/>
                  </pic:nvPicPr>
                  <pic:blipFill>
                    <a:blip r:embed="rId53">
                      <a:extLst>
                        <a:ext uri="{28A0092B-C50C-407E-A947-70E740481C1C}">
                          <a14:useLocalDpi xmlns:a14="http://schemas.microsoft.com/office/drawing/2010/main" val="0"/>
                        </a:ext>
                      </a:extLst>
                    </a:blip>
                    <a:stretch>
                      <a:fillRect/>
                    </a:stretch>
                  </pic:blipFill>
                  <pic:spPr>
                    <a:xfrm>
                      <a:off x="0" y="0"/>
                      <a:ext cx="2085384" cy="2255520"/>
                    </a:xfrm>
                    <a:prstGeom prst="rect">
                      <a:avLst/>
                    </a:prstGeom>
                  </pic:spPr>
                </pic:pic>
              </a:graphicData>
            </a:graphic>
          </wp:inline>
        </w:drawing>
      </w:r>
    </w:p>
    <w:p w14:paraId="1376B3EB" w14:textId="67924CAC" w:rsidR="00376C0D" w:rsidRDefault="00376C0D" w:rsidP="00886DC6">
      <w:pPr>
        <w:rPr>
          <w:rFonts w:eastAsiaTheme="minorEastAsia"/>
        </w:rPr>
      </w:pPr>
      <w:r>
        <w:rPr>
          <w:rFonts w:eastAsiaTheme="minorEastAsia"/>
        </w:rPr>
        <w:lastRenderedPageBreak/>
        <w:t>Je sais qu’il y en a parmi vous qui vont sortir un centimètre et se dire tout de suite qu’ils sont très fort en Maths. En fait, c’est un peu plus compliqué que ça</w:t>
      </w:r>
    </w:p>
    <w:p w14:paraId="4BE0F12C" w14:textId="77777777" w:rsidR="00376C0D" w:rsidRDefault="00376C0D" w:rsidP="00886DC6">
      <w:pPr>
        <w:rPr>
          <w:rFonts w:eastAsiaTheme="minorEastAsia"/>
        </w:rPr>
      </w:pPr>
      <w:r>
        <w:rPr>
          <w:rFonts w:eastAsiaTheme="minorEastAsia"/>
        </w:rPr>
        <w:t>Prenons l’exemple de l’ensemble de Cantor</w:t>
      </w:r>
    </w:p>
    <w:p w14:paraId="0F9104AC" w14:textId="77777777" w:rsidR="00376C0D" w:rsidRDefault="00DA19DF" w:rsidP="00886DC6">
      <w:hyperlink r:id="rId54" w:history="1">
        <w:r w:rsidR="00376C0D">
          <w:rPr>
            <w:rStyle w:val="Lienhypertexte"/>
          </w:rPr>
          <w:t>https://fr.wikipedia.org/wiki/Ensemble_de_Cantor</w:t>
        </w:r>
      </w:hyperlink>
    </w:p>
    <w:p w14:paraId="496CEC3D" w14:textId="77777777" w:rsidR="00376C0D" w:rsidRPr="00D10ACB" w:rsidRDefault="00376C0D" w:rsidP="009E4963">
      <w:pPr>
        <w:jc w:val="center"/>
      </w:pPr>
      <w:r>
        <w:rPr>
          <w:noProof/>
          <w:lang w:eastAsia="fr-FR"/>
        </w:rPr>
        <w:drawing>
          <wp:inline distT="0" distB="0" distL="0" distR="0" wp14:anchorId="1A0C4B0F" wp14:editId="64A831C6">
            <wp:extent cx="4861560" cy="78561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px-Cantor_set_in_seven_iterations.svg.png"/>
                    <pic:cNvPicPr/>
                  </pic:nvPicPr>
                  <pic:blipFill>
                    <a:blip r:embed="rId55">
                      <a:extLst>
                        <a:ext uri="{28A0092B-C50C-407E-A947-70E740481C1C}">
                          <a14:useLocalDpi xmlns:a14="http://schemas.microsoft.com/office/drawing/2010/main" val="0"/>
                        </a:ext>
                      </a:extLst>
                    </a:blip>
                    <a:stretch>
                      <a:fillRect/>
                    </a:stretch>
                  </pic:blipFill>
                  <pic:spPr>
                    <a:xfrm>
                      <a:off x="0" y="0"/>
                      <a:ext cx="4861560" cy="785610"/>
                    </a:xfrm>
                    <a:prstGeom prst="rect">
                      <a:avLst/>
                    </a:prstGeom>
                  </pic:spPr>
                </pic:pic>
              </a:graphicData>
            </a:graphic>
          </wp:inline>
        </w:drawing>
      </w:r>
    </w:p>
    <w:p w14:paraId="72AFAB03" w14:textId="77777777" w:rsidR="00886DC6" w:rsidRDefault="00376C0D" w:rsidP="00EE0C6A">
      <w:r>
        <w:t>On prend un segment de droite, on lui enlève le tiers médian. (deuxième ligne ci-dessus). On recommence l’opération avec les deux morceaux qui nous restent. Puis, comme on trouve cela amusant, on continue et, avec une patience infinie, on arrive à un ensemble qui résiste à l’assaut du centimètre et là, on dit merci à Lebesgue car on vient de trouver un ensemble de mesure nulle !</w:t>
      </w:r>
    </w:p>
    <w:p w14:paraId="58407D89" w14:textId="77777777" w:rsidR="00886DC6" w:rsidRDefault="00376C0D" w:rsidP="00EE0C6A">
      <w:r>
        <w:t>Ce pauvre Cantor est soupçonné de bipolarité et on dit qu’il est mort</w:t>
      </w:r>
      <w:r w:rsidR="00B176DC">
        <w:t xml:space="preserve"> en janvier 1918</w:t>
      </w:r>
      <w:r>
        <w:t xml:space="preserve"> à moitié fou</w:t>
      </w:r>
      <w:r w:rsidR="007C476C">
        <w:t xml:space="preserve"> et si on lui rend sa bipolarité, il devient complétement fou</w:t>
      </w:r>
      <w:r w:rsidR="00B176DC">
        <w:t>. Je laisse ce genre de commentaire à votre appréciation…</w:t>
      </w:r>
    </w:p>
    <w:p w14:paraId="3D1CDCE4" w14:textId="77777777" w:rsidR="00EE0C6A" w:rsidRDefault="00B176DC" w:rsidP="00B176DC">
      <w:pPr>
        <w:ind w:left="360"/>
        <w:jc w:val="center"/>
        <w:rPr>
          <w:i/>
          <w:sz w:val="28"/>
        </w:rPr>
      </w:pPr>
      <w:r>
        <w:rPr>
          <w:i/>
          <w:noProof/>
          <w:sz w:val="28"/>
          <w:lang w:eastAsia="fr-FR"/>
        </w:rPr>
        <w:drawing>
          <wp:inline distT="0" distB="0" distL="0" distR="0" wp14:anchorId="238A6308" wp14:editId="0F05E52E">
            <wp:extent cx="1691640" cy="2219637"/>
            <wp:effectExtent l="0" t="0" r="381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px-Georg_Cantor2.jpg"/>
                    <pic:cNvPicPr/>
                  </pic:nvPicPr>
                  <pic:blipFill>
                    <a:blip r:embed="rId56">
                      <a:extLst>
                        <a:ext uri="{28A0092B-C50C-407E-A947-70E740481C1C}">
                          <a14:useLocalDpi xmlns:a14="http://schemas.microsoft.com/office/drawing/2010/main" val="0"/>
                        </a:ext>
                      </a:extLst>
                    </a:blip>
                    <a:stretch>
                      <a:fillRect/>
                    </a:stretch>
                  </pic:blipFill>
                  <pic:spPr>
                    <a:xfrm>
                      <a:off x="0" y="0"/>
                      <a:ext cx="1691640" cy="2219637"/>
                    </a:xfrm>
                    <a:prstGeom prst="rect">
                      <a:avLst/>
                    </a:prstGeom>
                  </pic:spPr>
                </pic:pic>
              </a:graphicData>
            </a:graphic>
          </wp:inline>
        </w:drawing>
      </w:r>
    </w:p>
    <w:p w14:paraId="1752F4CA" w14:textId="77777777" w:rsidR="00B37E4D" w:rsidRDefault="00B37E4D" w:rsidP="00B37E4D">
      <w:pPr>
        <w:ind w:left="360"/>
      </w:pPr>
      <w:r w:rsidRPr="00B37E4D">
        <w:t>La théorie de</w:t>
      </w:r>
      <w:r>
        <w:t xml:space="preserve"> l’intégrale de Lebesgue a permis le développement de la théorie des probabilités et nous a valu par exemple les intégrales stochastiques qui servent à plomber la bourse et qui sont partiellement responsables du </w:t>
      </w:r>
      <w:proofErr w:type="spellStart"/>
      <w:r>
        <w:t>crack</w:t>
      </w:r>
      <w:proofErr w:type="spellEnd"/>
      <w:r>
        <w:t xml:space="preserve"> boursier de 2008…</w:t>
      </w:r>
    </w:p>
    <w:p w14:paraId="6485BAAE" w14:textId="77777777" w:rsidR="00B37E4D" w:rsidRDefault="00B37E4D" w:rsidP="00B37E4D">
      <w:pPr>
        <w:ind w:left="360"/>
      </w:pPr>
      <w:r>
        <w:t xml:space="preserve">Les choses ont encore bougé avec l’intégrale de </w:t>
      </w:r>
      <w:proofErr w:type="spellStart"/>
      <w:r>
        <w:t>Kurweil-Henstock</w:t>
      </w:r>
      <w:proofErr w:type="spellEnd"/>
      <w:r>
        <w:t xml:space="preserve"> </w:t>
      </w:r>
    </w:p>
    <w:p w14:paraId="7957821E" w14:textId="77777777" w:rsidR="00B37E4D" w:rsidRDefault="00DA19DF" w:rsidP="00B37E4D">
      <w:pPr>
        <w:ind w:left="360"/>
      </w:pPr>
      <w:hyperlink r:id="rId57" w:history="1">
        <w:r w:rsidR="00B37E4D">
          <w:rPr>
            <w:rStyle w:val="Lienhypertexte"/>
          </w:rPr>
          <w:t>https://fr.wikipedia.org/wiki/Int%C3%A9grale_de_Kurzweil-Henstock</w:t>
        </w:r>
      </w:hyperlink>
    </w:p>
    <w:p w14:paraId="2D27C218" w14:textId="77777777" w:rsidR="00B37E4D" w:rsidRDefault="00B37E4D" w:rsidP="00B37E4D">
      <w:pPr>
        <w:ind w:left="360"/>
      </w:pPr>
      <w:r>
        <w:t>Cette nouvelle approche a été développée de part et d’autre du rideau de fer</w:t>
      </w:r>
      <w:r w:rsidR="004570E8">
        <w:t xml:space="preserve"> à l’époque (les années 50), il y avait peu d’échange entre les mathématiciens qui résidaient de part et d’autre de ce rideau. Il est remarquable qu’il y ait eu cette convergence d’idée que je ne chercherai pas à développer ici. C’est pour montrer que, même des idées qui remontent à l’antiquité peuvent trouver une évolution importante de nos jours.</w:t>
      </w:r>
    </w:p>
    <w:p w14:paraId="694DDCAC" w14:textId="77777777" w:rsidR="007C476C" w:rsidRPr="00273839" w:rsidRDefault="007C476C" w:rsidP="007C476C">
      <w:pPr>
        <w:pStyle w:val="Paragraphedeliste"/>
        <w:numPr>
          <w:ilvl w:val="0"/>
          <w:numId w:val="2"/>
        </w:numPr>
        <w:rPr>
          <w:b/>
          <w:i/>
          <w:sz w:val="28"/>
          <w:u w:val="single"/>
        </w:rPr>
      </w:pPr>
      <w:r>
        <w:rPr>
          <w:b/>
          <w:i/>
          <w:sz w:val="28"/>
          <w:u w:val="single"/>
        </w:rPr>
        <w:t>Conclusion.</w:t>
      </w:r>
    </w:p>
    <w:p w14:paraId="6B179709" w14:textId="77777777" w:rsidR="007C476C" w:rsidRDefault="007C476C" w:rsidP="00B37E4D">
      <w:pPr>
        <w:ind w:left="360"/>
      </w:pPr>
      <w:r>
        <w:lastRenderedPageBreak/>
        <w:t>J’espère vous avoir intéressé par cette présentation de notions au combien abstraites mais qui, comme j’ai essayé de le montre</w:t>
      </w:r>
      <w:r w:rsidR="00623819">
        <w:t>r</w:t>
      </w:r>
      <w:r>
        <w:t>, se retrouvent dans les objets de tous les jours.</w:t>
      </w:r>
    </w:p>
    <w:p w14:paraId="030A2B56" w14:textId="77777777" w:rsidR="003A5D50" w:rsidRPr="00B37E4D" w:rsidRDefault="003A5D50" w:rsidP="00B37E4D">
      <w:pPr>
        <w:ind w:left="360"/>
      </w:pPr>
      <w:r>
        <w:t>On peut passer en revue toutes les notions et applications du calcul différentiel et intégral.</w:t>
      </w:r>
    </w:p>
    <w:sectPr w:rsidR="003A5D50" w:rsidRPr="00B37E4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BF294" w14:textId="77777777" w:rsidR="002976D5" w:rsidRDefault="002976D5" w:rsidP="0065450B">
      <w:pPr>
        <w:spacing w:after="0" w:line="240" w:lineRule="auto"/>
      </w:pPr>
      <w:r>
        <w:separator/>
      </w:r>
    </w:p>
  </w:endnote>
  <w:endnote w:type="continuationSeparator" w:id="0">
    <w:p w14:paraId="6CDD1FB4" w14:textId="77777777" w:rsidR="002976D5" w:rsidRDefault="002976D5" w:rsidP="00654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ECD6B" w14:textId="77777777" w:rsidR="002976D5" w:rsidRDefault="002976D5" w:rsidP="0065450B">
      <w:pPr>
        <w:spacing w:after="0" w:line="240" w:lineRule="auto"/>
      </w:pPr>
      <w:r>
        <w:separator/>
      </w:r>
    </w:p>
  </w:footnote>
  <w:footnote w:type="continuationSeparator" w:id="0">
    <w:p w14:paraId="37FFD1BA" w14:textId="77777777" w:rsidR="002976D5" w:rsidRDefault="002976D5" w:rsidP="006545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82746"/>
    <w:multiLevelType w:val="hybridMultilevel"/>
    <w:tmpl w:val="65749B9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ADE32F3"/>
    <w:multiLevelType w:val="hybridMultilevel"/>
    <w:tmpl w:val="DA48A6B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B7F6FA6"/>
    <w:multiLevelType w:val="hybridMultilevel"/>
    <w:tmpl w:val="EABCCB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A2735BE"/>
    <w:multiLevelType w:val="hybridMultilevel"/>
    <w:tmpl w:val="16D68AA4"/>
    <w:lvl w:ilvl="0" w:tplc="5436105C">
      <w:start w:val="1"/>
      <w:numFmt w:val="upperRoman"/>
      <w:lvlText w:val="%1."/>
      <w:lvlJc w:val="right"/>
      <w:pPr>
        <w:ind w:left="720" w:hanging="360"/>
      </w:pPr>
      <w:rPr>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450B"/>
    <w:rsid w:val="00025A96"/>
    <w:rsid w:val="00053B9B"/>
    <w:rsid w:val="0006180B"/>
    <w:rsid w:val="000869FA"/>
    <w:rsid w:val="000C2CFA"/>
    <w:rsid w:val="000C41DC"/>
    <w:rsid w:val="000C6CC1"/>
    <w:rsid w:val="000E5176"/>
    <w:rsid w:val="00102032"/>
    <w:rsid w:val="00145C74"/>
    <w:rsid w:val="001C5EFC"/>
    <w:rsid w:val="00202D1C"/>
    <w:rsid w:val="00222E35"/>
    <w:rsid w:val="002240C9"/>
    <w:rsid w:val="00230E16"/>
    <w:rsid w:val="002361A5"/>
    <w:rsid w:val="00273839"/>
    <w:rsid w:val="002976D5"/>
    <w:rsid w:val="002E34A6"/>
    <w:rsid w:val="002F04AA"/>
    <w:rsid w:val="00346D04"/>
    <w:rsid w:val="00376C0D"/>
    <w:rsid w:val="003A5D50"/>
    <w:rsid w:val="003C4431"/>
    <w:rsid w:val="003F0B95"/>
    <w:rsid w:val="00423D4A"/>
    <w:rsid w:val="00432F33"/>
    <w:rsid w:val="004570E8"/>
    <w:rsid w:val="00463E9B"/>
    <w:rsid w:val="00465F4B"/>
    <w:rsid w:val="00483A2D"/>
    <w:rsid w:val="00487495"/>
    <w:rsid w:val="004B0ECB"/>
    <w:rsid w:val="004C089A"/>
    <w:rsid w:val="004D62E7"/>
    <w:rsid w:val="004E66F6"/>
    <w:rsid w:val="00525D0B"/>
    <w:rsid w:val="00532211"/>
    <w:rsid w:val="0058304E"/>
    <w:rsid w:val="005D57DA"/>
    <w:rsid w:val="005F60DF"/>
    <w:rsid w:val="0061210D"/>
    <w:rsid w:val="00623819"/>
    <w:rsid w:val="00632826"/>
    <w:rsid w:val="00646E3E"/>
    <w:rsid w:val="0065450B"/>
    <w:rsid w:val="00656462"/>
    <w:rsid w:val="006664D8"/>
    <w:rsid w:val="00697243"/>
    <w:rsid w:val="006A6660"/>
    <w:rsid w:val="00724B71"/>
    <w:rsid w:val="0076460A"/>
    <w:rsid w:val="00797EF2"/>
    <w:rsid w:val="007C476C"/>
    <w:rsid w:val="007F1EB9"/>
    <w:rsid w:val="007F287B"/>
    <w:rsid w:val="00816BCD"/>
    <w:rsid w:val="00831EF3"/>
    <w:rsid w:val="00867208"/>
    <w:rsid w:val="00882893"/>
    <w:rsid w:val="00886DC6"/>
    <w:rsid w:val="00892365"/>
    <w:rsid w:val="00897208"/>
    <w:rsid w:val="008A21CC"/>
    <w:rsid w:val="008A775D"/>
    <w:rsid w:val="008B18A3"/>
    <w:rsid w:val="008E0A64"/>
    <w:rsid w:val="00920A16"/>
    <w:rsid w:val="009B1C2C"/>
    <w:rsid w:val="009E4963"/>
    <w:rsid w:val="00A01AAB"/>
    <w:rsid w:val="00A03D1E"/>
    <w:rsid w:val="00A24B83"/>
    <w:rsid w:val="00A473D7"/>
    <w:rsid w:val="00A50E0C"/>
    <w:rsid w:val="00A62788"/>
    <w:rsid w:val="00A755BB"/>
    <w:rsid w:val="00AD4BB8"/>
    <w:rsid w:val="00B176DC"/>
    <w:rsid w:val="00B37E4D"/>
    <w:rsid w:val="00B47CB0"/>
    <w:rsid w:val="00B65188"/>
    <w:rsid w:val="00B70FC7"/>
    <w:rsid w:val="00B80C36"/>
    <w:rsid w:val="00B963BF"/>
    <w:rsid w:val="00BA2445"/>
    <w:rsid w:val="00BC7B85"/>
    <w:rsid w:val="00C05575"/>
    <w:rsid w:val="00C14859"/>
    <w:rsid w:val="00C300AD"/>
    <w:rsid w:val="00C677CD"/>
    <w:rsid w:val="00C70088"/>
    <w:rsid w:val="00C85460"/>
    <w:rsid w:val="00C859D0"/>
    <w:rsid w:val="00CA5A46"/>
    <w:rsid w:val="00CD2B38"/>
    <w:rsid w:val="00CD4939"/>
    <w:rsid w:val="00D10ACB"/>
    <w:rsid w:val="00D152EB"/>
    <w:rsid w:val="00D35CDC"/>
    <w:rsid w:val="00D36357"/>
    <w:rsid w:val="00D529F9"/>
    <w:rsid w:val="00D61F16"/>
    <w:rsid w:val="00D62FFF"/>
    <w:rsid w:val="00D66671"/>
    <w:rsid w:val="00D839C5"/>
    <w:rsid w:val="00DA19DF"/>
    <w:rsid w:val="00DB1E58"/>
    <w:rsid w:val="00DB23B5"/>
    <w:rsid w:val="00EB6A45"/>
    <w:rsid w:val="00EC049F"/>
    <w:rsid w:val="00ED726A"/>
    <w:rsid w:val="00EE0C6A"/>
    <w:rsid w:val="00F61DEF"/>
    <w:rsid w:val="00F706EC"/>
    <w:rsid w:val="00FB11F5"/>
    <w:rsid w:val="00FD78E6"/>
    <w:rsid w:val="00FE27E6"/>
    <w:rsid w:val="00FF7F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62A4A"/>
  <w15:docId w15:val="{30489FFD-9723-4121-9FAA-A6E5BF5D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545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545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5450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5450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65450B"/>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65450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89720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5450B"/>
    <w:pPr>
      <w:tabs>
        <w:tab w:val="center" w:pos="4536"/>
        <w:tab w:val="right" w:pos="9072"/>
      </w:tabs>
      <w:spacing w:after="0" w:line="240" w:lineRule="auto"/>
    </w:pPr>
  </w:style>
  <w:style w:type="character" w:customStyle="1" w:styleId="En-tteCar">
    <w:name w:val="En-tête Car"/>
    <w:basedOn w:val="Policepardfaut"/>
    <w:link w:val="En-tte"/>
    <w:uiPriority w:val="99"/>
    <w:rsid w:val="0065450B"/>
  </w:style>
  <w:style w:type="paragraph" w:styleId="Pieddepage">
    <w:name w:val="footer"/>
    <w:basedOn w:val="Normal"/>
    <w:link w:val="PieddepageCar"/>
    <w:uiPriority w:val="99"/>
    <w:unhideWhenUsed/>
    <w:rsid w:val="006545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450B"/>
  </w:style>
  <w:style w:type="paragraph" w:styleId="Textedebulles">
    <w:name w:val="Balloon Text"/>
    <w:basedOn w:val="Normal"/>
    <w:link w:val="TextedebullesCar"/>
    <w:uiPriority w:val="99"/>
    <w:semiHidden/>
    <w:unhideWhenUsed/>
    <w:rsid w:val="006545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450B"/>
    <w:rPr>
      <w:rFonts w:ascii="Tahoma" w:hAnsi="Tahoma" w:cs="Tahoma"/>
      <w:sz w:val="16"/>
      <w:szCs w:val="16"/>
    </w:rPr>
  </w:style>
  <w:style w:type="character" w:customStyle="1" w:styleId="Titre1Car">
    <w:name w:val="Titre 1 Car"/>
    <w:basedOn w:val="Policepardfaut"/>
    <w:link w:val="Titre1"/>
    <w:uiPriority w:val="9"/>
    <w:rsid w:val="0065450B"/>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6545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5450B"/>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65450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65450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65450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65450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65450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897208"/>
    <w:rPr>
      <w:rFonts w:asciiTheme="majorHAnsi" w:eastAsiaTheme="majorEastAsia" w:hAnsiTheme="majorHAnsi" w:cstheme="majorBidi"/>
      <w:i/>
      <w:iCs/>
      <w:color w:val="404040" w:themeColor="text1" w:themeTint="BF"/>
    </w:rPr>
  </w:style>
  <w:style w:type="paragraph" w:styleId="Paragraphedeliste">
    <w:name w:val="List Paragraph"/>
    <w:basedOn w:val="Normal"/>
    <w:uiPriority w:val="34"/>
    <w:qFormat/>
    <w:rsid w:val="00920A16"/>
    <w:pPr>
      <w:ind w:left="720"/>
      <w:contextualSpacing/>
    </w:pPr>
  </w:style>
  <w:style w:type="paragraph" w:styleId="Lgende">
    <w:name w:val="caption"/>
    <w:basedOn w:val="Normal"/>
    <w:next w:val="Normal"/>
    <w:uiPriority w:val="35"/>
    <w:unhideWhenUsed/>
    <w:qFormat/>
    <w:rsid w:val="00CD4939"/>
    <w:pPr>
      <w:spacing w:line="240" w:lineRule="auto"/>
    </w:pPr>
    <w:rPr>
      <w:b/>
      <w:bCs/>
      <w:color w:val="4F81BD" w:themeColor="accent1"/>
      <w:sz w:val="18"/>
      <w:szCs w:val="18"/>
    </w:rPr>
  </w:style>
  <w:style w:type="character" w:styleId="Lienhypertexte">
    <w:name w:val="Hyperlink"/>
    <w:basedOn w:val="Policepardfaut"/>
    <w:uiPriority w:val="99"/>
    <w:unhideWhenUsed/>
    <w:rsid w:val="00867208"/>
    <w:rPr>
      <w:color w:val="0000FF"/>
      <w:u w:val="single"/>
    </w:rPr>
  </w:style>
  <w:style w:type="character" w:styleId="Textedelespacerserv">
    <w:name w:val="Placeholder Text"/>
    <w:basedOn w:val="Policepardfaut"/>
    <w:uiPriority w:val="99"/>
    <w:semiHidden/>
    <w:rsid w:val="00F706EC"/>
    <w:rPr>
      <w:color w:val="808080"/>
    </w:rPr>
  </w:style>
  <w:style w:type="table" w:styleId="Grilledutableau">
    <w:name w:val="Table Grid"/>
    <w:basedOn w:val="TableauNormal"/>
    <w:uiPriority w:val="59"/>
    <w:rsid w:val="004C0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C476C"/>
    <w:rPr>
      <w:color w:val="800080" w:themeColor="followedHyperlink"/>
      <w:u w:val="single"/>
    </w:rPr>
  </w:style>
  <w:style w:type="character" w:customStyle="1" w:styleId="mwe-math-mathml-inline">
    <w:name w:val="mwe-math-mathml-inline"/>
    <w:basedOn w:val="Policepardfaut"/>
    <w:rsid w:val="00F61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787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fr.wikipedia.org/wiki/Isaac_Newton" TargetMode="External"/><Relationship Id="rId26" Type="http://schemas.openxmlformats.org/officeDocument/2006/relationships/image" Target="media/image14.jp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hyperlink" Target="https://fr.wikipedia.org/wiki/Daisyworld" TargetMode="External"/><Relationship Id="rId42" Type="http://schemas.openxmlformats.org/officeDocument/2006/relationships/hyperlink" Target="http://images.math.cnrs.fr/pdf2004/Villani.pdf" TargetMode="External"/><Relationship Id="rId47" Type="http://schemas.openxmlformats.org/officeDocument/2006/relationships/image" Target="media/image25.jpeg"/><Relationship Id="rId50" Type="http://schemas.openxmlformats.org/officeDocument/2006/relationships/hyperlink" Target="https://sciencetonnante.wordpress.com/2014/03/03/la-mysterieuse-equation-de-navier-stokes/" TargetMode="External"/><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Pierre_de_Fermat" TargetMode="External"/><Relationship Id="rId29" Type="http://schemas.openxmlformats.org/officeDocument/2006/relationships/hyperlink" Target="https://pharmacomedicale.org/pharmacologie/pharmacocinetique/38-parametres-pharmacocinetiques" TargetMode="Externa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hyperlink" Target="https://fr.wikipedia.org/wiki/Circuit_RLC" TargetMode="External"/><Relationship Id="rId45" Type="http://schemas.openxmlformats.org/officeDocument/2006/relationships/hyperlink" Target="https://interstices.info/modeliser-la-dynamique-des-populations-animales-la-predation/" TargetMode="External"/><Relationship Id="rId53" Type="http://schemas.openxmlformats.org/officeDocument/2006/relationships/image" Target="media/image29.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fr.wikipedia.org/wiki/Th%C3%A9or%C3%A8me_fondamental_de_l%27analyse" TargetMode="External"/><Relationship Id="rId27" Type="http://schemas.openxmlformats.org/officeDocument/2006/relationships/image" Target="media/image15.jpg"/><Relationship Id="rId30" Type="http://schemas.openxmlformats.org/officeDocument/2006/relationships/hyperlink" Target="https://pharmacomedicale.org/images/cnpm/desc/J_ALEXANDRE_Notions_PK_de_base.pdf" TargetMode="External"/><Relationship Id="rId35" Type="http://schemas.openxmlformats.org/officeDocument/2006/relationships/image" Target="media/image19.jpeg"/><Relationship Id="rId43" Type="http://schemas.openxmlformats.org/officeDocument/2006/relationships/hyperlink" Target="https://interstices.info/modeliser-la-propagation-dune-epidemie/" TargetMode="External"/><Relationship Id="rId48" Type="http://schemas.openxmlformats.org/officeDocument/2006/relationships/image" Target="media/image26.png"/><Relationship Id="rId56" Type="http://schemas.openxmlformats.org/officeDocument/2006/relationships/image" Target="media/image31.jpg"/><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fr.wikipedia.org/wiki/Archim%C3%A8de"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fr.wikipedia.org/wiki/James_Lovelock" TargetMode="External"/><Relationship Id="rId38" Type="http://schemas.openxmlformats.org/officeDocument/2006/relationships/hyperlink" Target="http://www.tangentex.com/CircuitAccord.htm" TargetMode="External"/><Relationship Id="rId46" Type="http://schemas.openxmlformats.org/officeDocument/2006/relationships/image" Target="media/image24.jpeg"/><Relationship Id="rId59" Type="http://schemas.openxmlformats.org/officeDocument/2006/relationships/theme" Target="theme/theme1.xml"/><Relationship Id="rId20" Type="http://schemas.openxmlformats.org/officeDocument/2006/relationships/hyperlink" Target="https://fr.wikipedia.org/wiki/Gottfried_Wilhelm_Leibniz" TargetMode="External"/><Relationship Id="rId41" Type="http://schemas.openxmlformats.org/officeDocument/2006/relationships/image" Target="media/image22.jpeg"/><Relationship Id="rId54" Type="http://schemas.openxmlformats.org/officeDocument/2006/relationships/hyperlink" Target="https://fr.wikipedia.org/wiki/Ensemble_de_Cant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s://fr.wikipedia.org/wiki/%C3%89quations_de_pr%C3%A9dation_de_Lotka-Volterra" TargetMode="External"/><Relationship Id="rId49" Type="http://schemas.openxmlformats.org/officeDocument/2006/relationships/image" Target="media/image27.jpg"/><Relationship Id="rId57" Type="http://schemas.openxmlformats.org/officeDocument/2006/relationships/hyperlink" Target="https://fr.wikipedia.org/wiki/Int%C3%A9grale_de_Kurzweil-Henstock"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3.png"/><Relationship Id="rId52" Type="http://schemas.openxmlformats.org/officeDocument/2006/relationships/hyperlink" Target="https://fr.wikipedia.org/wiki/Analyse_non_standar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46B4E-86B1-4550-9B2B-E3E137C44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1612</TotalTime>
  <Pages>1</Pages>
  <Words>4159</Words>
  <Characters>22877</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m.gonnord@sfr.fr</dc:creator>
  <cp:keywords/>
  <dc:description/>
  <cp:lastModifiedBy>Michel Gonnord</cp:lastModifiedBy>
  <cp:revision>3</cp:revision>
  <dcterms:created xsi:type="dcterms:W3CDTF">2021-09-06T12:43:00Z</dcterms:created>
  <dcterms:modified xsi:type="dcterms:W3CDTF">2021-10-04T14:30:00Z</dcterms:modified>
</cp:coreProperties>
</file>